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6D67" w14:textId="0AB80C23" w:rsidR="0033498F" w:rsidRPr="009B2BC5" w:rsidRDefault="00275DCF" w:rsidP="0033498F">
      <w:pPr>
        <w:spacing w:after="360"/>
        <w:jc w:val="right"/>
        <w:rPr>
          <w:rStyle w:val="Heading1Char"/>
          <w:rFonts w:ascii="Atkinson Hyperlegible" w:hAnsi="Atkinson Hyperlegible"/>
        </w:rPr>
      </w:pPr>
      <w:bookmarkStart w:id="0" w:name="_Toc2125923824"/>
      <w:bookmarkStart w:id="1" w:name="_Toc962184464"/>
      <w:r>
        <w:rPr>
          <w:rFonts w:ascii="Atkinson Hyperlegible" w:eastAsiaTheme="majorEastAsia" w:hAnsi="Atkinson Hyperlegible" w:cstheme="majorBidi"/>
          <w:noProof/>
          <w:sz w:val="48"/>
          <w:szCs w:val="32"/>
        </w:rPr>
        <w:drawing>
          <wp:anchor distT="0" distB="0" distL="114300" distR="114300" simplePos="0" relativeHeight="251658240" behindDoc="0" locked="0" layoutInCell="1" allowOverlap="1" wp14:anchorId="51B65409" wp14:editId="39CBB0EB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3593592" cy="1339336"/>
            <wp:effectExtent l="0" t="0" r="6985" b="0"/>
            <wp:wrapSquare wrapText="bothSides"/>
            <wp:docPr id="22991299" name="Graphic 1" descr="National Library of Scotl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1299" name="Graphic 22991299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33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DFFD3" w14:textId="77777777" w:rsidR="0051781B" w:rsidRDefault="0051781B" w:rsidP="004F10A7">
      <w:pPr>
        <w:spacing w:after="360"/>
        <w:jc w:val="center"/>
        <w:rPr>
          <w:rStyle w:val="Heading1Char"/>
          <w:rFonts w:ascii="Atkinson Hyperlegible" w:hAnsi="Atkinson Hyperlegible"/>
        </w:rPr>
      </w:pPr>
    </w:p>
    <w:p w14:paraId="2585A5A8" w14:textId="54B75011" w:rsidR="00815C62" w:rsidRPr="009B2BC5" w:rsidRDefault="59EC5839" w:rsidP="008C6985">
      <w:pPr>
        <w:spacing w:before="1320" w:afterLines="1400" w:after="3360"/>
        <w:rPr>
          <w:rStyle w:val="Heading1Char"/>
          <w:rFonts w:ascii="Atkinson Hyperlegible" w:hAnsi="Atkinson Hyperlegible"/>
        </w:rPr>
      </w:pPr>
      <w:r w:rsidRPr="66E68166">
        <w:rPr>
          <w:rStyle w:val="Heading1Char"/>
          <w:rFonts w:ascii="Atkinson Hyperlegible" w:hAnsi="Atkinson Hyperlegible"/>
        </w:rPr>
        <w:t xml:space="preserve">Assistance and emotional support </w:t>
      </w:r>
      <w:r w:rsidR="7092633A" w:rsidRPr="66E68166">
        <w:rPr>
          <w:rStyle w:val="Heading1Char"/>
          <w:rFonts w:ascii="Atkinson Hyperlegible" w:hAnsi="Atkinson Hyperlegible"/>
        </w:rPr>
        <w:t>animal</w:t>
      </w:r>
      <w:r w:rsidRPr="66E68166">
        <w:rPr>
          <w:rStyle w:val="Heading1Char"/>
          <w:rFonts w:ascii="Atkinson Hyperlegible" w:hAnsi="Atkinson Hyperlegible"/>
        </w:rPr>
        <w:t xml:space="preserve"> policy</w:t>
      </w:r>
    </w:p>
    <w:p w14:paraId="08CA89E1" w14:textId="63398A2D" w:rsidR="00995125" w:rsidRPr="009B2BC5" w:rsidRDefault="00815C62" w:rsidP="00815C62">
      <w:pPr>
        <w:spacing w:after="360"/>
        <w:jc w:val="right"/>
        <w:rPr>
          <w:rFonts w:ascii="Atkinson Hyperlegible" w:hAnsi="Atkinson Hyperlegible"/>
        </w:rPr>
      </w:pPr>
      <w:r w:rsidRPr="66E68166">
        <w:rPr>
          <w:rFonts w:ascii="Atkinson Hyperlegible" w:hAnsi="Atkinson Hyperlegible"/>
        </w:rPr>
        <w:t xml:space="preserve">Last revised: </w:t>
      </w:r>
      <w:r w:rsidR="5039AE47" w:rsidRPr="66E68166">
        <w:rPr>
          <w:rFonts w:ascii="Atkinson Hyperlegible" w:hAnsi="Atkinson Hyperlegible"/>
        </w:rPr>
        <w:t>March 2025</w:t>
      </w:r>
      <w:r w:rsidRPr="66E68166">
        <w:rPr>
          <w:rFonts w:ascii="Atkinson Hyperlegible" w:hAnsi="Atkinson Hyperlegible"/>
        </w:rPr>
        <w:br w:type="page"/>
      </w:r>
      <w:bookmarkEnd w:id="0"/>
      <w:bookmarkEnd w:id="1"/>
    </w:p>
    <w:bookmarkStart w:id="2" w:name="_Toc1936490033" w:displacedByCustomXml="next"/>
    <w:bookmarkStart w:id="3" w:name="_Toc1611036248" w:displacedByCustomXml="next"/>
    <w:bookmarkStart w:id="4" w:name="_Toc110486754" w:displacedByCustomXml="next"/>
    <w:sdt>
      <w:sdtPr>
        <w:rPr>
          <w:rFonts w:ascii="Atkinson Hyperlegible" w:hAnsi="Atkinson Hyperlegible"/>
          <w:b/>
          <w:bCs/>
        </w:rPr>
        <w:id w:val="181339656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8A006E4" w14:textId="499B2ADE" w:rsidR="00F228FE" w:rsidRPr="009B2BC5" w:rsidRDefault="00F228FE" w:rsidP="00902973">
          <w:pPr>
            <w:spacing w:after="360"/>
            <w:rPr>
              <w:rStyle w:val="Heading2Char"/>
              <w:rFonts w:ascii="Atkinson Hyperlegible" w:hAnsi="Atkinson Hyperlegible"/>
            </w:rPr>
          </w:pPr>
          <w:r w:rsidRPr="009B2BC5">
            <w:rPr>
              <w:rStyle w:val="Heading2Char"/>
              <w:rFonts w:ascii="Atkinson Hyperlegible" w:hAnsi="Atkinson Hyperlegible"/>
            </w:rPr>
            <w:t>Contents</w:t>
          </w:r>
          <w:bookmarkEnd w:id="4"/>
          <w:bookmarkEnd w:id="3"/>
          <w:bookmarkEnd w:id="2"/>
        </w:p>
        <w:p w14:paraId="13A2B2E2" w14:textId="776867D3" w:rsidR="00807FEC" w:rsidRDefault="002B6E11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r w:rsidRPr="009B2BC5">
            <w:rPr>
              <w:rFonts w:ascii="Atkinson Hyperlegible" w:hAnsi="Atkinson Hyperlegible"/>
            </w:rPr>
            <w:fldChar w:fldCharType="begin"/>
          </w:r>
          <w:r w:rsidRPr="009B2BC5">
            <w:rPr>
              <w:rFonts w:ascii="Atkinson Hyperlegible" w:hAnsi="Atkinson Hyperlegible"/>
            </w:rPr>
            <w:instrText xml:space="preserve"> TOC \h \z \t "Heading 2,1,Heading 3,2,Heading 4,3,Heading 5,4,Heading 2 (No Numbers),1,Heading 3 (No Numbers),2" </w:instrText>
          </w:r>
          <w:r w:rsidRPr="009B2BC5">
            <w:rPr>
              <w:rFonts w:ascii="Atkinson Hyperlegible" w:hAnsi="Atkinson Hyperlegible"/>
            </w:rPr>
            <w:fldChar w:fldCharType="separate"/>
          </w:r>
          <w:hyperlink w:anchor="_Toc191730301" w:history="1">
            <w:r w:rsidR="00807FEC" w:rsidRPr="004E431A">
              <w:rPr>
                <w:rStyle w:val="Hyperlink"/>
                <w:rFonts w:ascii="Atkinson Hyperlegible" w:hAnsi="Atkinson Hyperlegible"/>
                <w:noProof/>
              </w:rPr>
              <w:t>1.</w:t>
            </w:r>
            <w:r w:rsidR="00807FEC"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="00807FEC" w:rsidRPr="004E431A">
              <w:rPr>
                <w:rStyle w:val="Hyperlink"/>
                <w:rFonts w:ascii="Atkinson Hyperlegible" w:hAnsi="Atkinson Hyperlegible"/>
                <w:noProof/>
              </w:rPr>
              <w:t>Scope</w:t>
            </w:r>
            <w:r w:rsidR="00807FEC">
              <w:rPr>
                <w:noProof/>
                <w:webHidden/>
              </w:rPr>
              <w:tab/>
            </w:r>
            <w:r w:rsidR="00807FEC">
              <w:rPr>
                <w:noProof/>
                <w:webHidden/>
              </w:rPr>
              <w:fldChar w:fldCharType="begin"/>
            </w:r>
            <w:r w:rsidR="00807FEC">
              <w:rPr>
                <w:noProof/>
                <w:webHidden/>
              </w:rPr>
              <w:instrText xml:space="preserve"> PAGEREF _Toc191730301 \h </w:instrText>
            </w:r>
            <w:r w:rsidR="00807FEC">
              <w:rPr>
                <w:noProof/>
                <w:webHidden/>
              </w:rPr>
            </w:r>
            <w:r w:rsidR="00807FEC"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3</w:t>
            </w:r>
            <w:r w:rsidR="00807FEC">
              <w:rPr>
                <w:noProof/>
                <w:webHidden/>
              </w:rPr>
              <w:fldChar w:fldCharType="end"/>
            </w:r>
          </w:hyperlink>
        </w:p>
        <w:p w14:paraId="63B549A9" w14:textId="3A0A771E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2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4E431A">
              <w:rPr>
                <w:rStyle w:val="Hyperlink"/>
                <w:rFonts w:ascii="Atkinson Hyperlegible" w:hAnsi="Atkinson Hyperlegible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7D620" w14:textId="1910395B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3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4E431A">
              <w:rPr>
                <w:rStyle w:val="Hyperlink"/>
                <w:rFonts w:ascii="Atkinson Hyperlegible" w:hAnsi="Atkinson Hyperlegible"/>
                <w:noProof/>
              </w:rPr>
              <w:t>Policy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E5B86" w14:textId="53FD1DAE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4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4E431A">
              <w:rPr>
                <w:rStyle w:val="Hyperlink"/>
                <w:rFonts w:ascii="Atkinson Hyperlegible" w:hAnsi="Atkinson Hyperlegible"/>
                <w:noProof/>
              </w:rPr>
              <w:t>Responsibilities of owners or custodians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9EB9C" w14:textId="43B8C07E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5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4E431A">
              <w:rPr>
                <w:rStyle w:val="Hyperlink"/>
                <w:rFonts w:ascii="Atkinson Hyperlegible" w:hAnsi="Atkinson Hyperlegible"/>
                <w:noProof/>
              </w:rPr>
              <w:t>Breaches of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0A7E5" w14:textId="1A853BDD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6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4E431A">
              <w:rPr>
                <w:rStyle w:val="Hyperlink"/>
                <w:rFonts w:ascii="Atkinson Hyperlegible" w:hAnsi="Atkinson Hyperlegible"/>
                <w:noProof/>
              </w:rPr>
              <w:t>Awareness of Library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5EF6F" w14:textId="70B17091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7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4E431A">
              <w:rPr>
                <w:rStyle w:val="Hyperlink"/>
                <w:rFonts w:ascii="Atkinson Hyperlegible" w:hAnsi="Atkinson Hyperlegible"/>
                <w:noProof/>
                <w:shd w:val="clear" w:color="auto" w:fill="FFFFFF"/>
              </w:rPr>
              <w:t xml:space="preserve">Related </w:t>
            </w:r>
            <w:r w:rsidRPr="004E431A">
              <w:rPr>
                <w:rStyle w:val="Hyperlink"/>
                <w:rFonts w:ascii="Atkinson Hyperlegible" w:hAnsi="Atkinson Hyperlegible"/>
                <w:noProof/>
              </w:rPr>
              <w:t>policies</w:t>
            </w:r>
            <w:r w:rsidRPr="004E431A">
              <w:rPr>
                <w:rStyle w:val="Hyperlink"/>
                <w:rFonts w:ascii="Atkinson Hyperlegible" w:hAnsi="Atkinson Hyperlegible"/>
                <w:noProof/>
                <w:shd w:val="clear" w:color="auto" w:fill="FFFFFF"/>
              </w:rPr>
              <w:t xml:space="preserve"> and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F36E2" w14:textId="668083E2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8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Document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979D6" w14:textId="462400E3" w:rsidR="00807FEC" w:rsidRDefault="00807FEC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1730309" w:history="1">
            <w:r w:rsidRPr="004E431A">
              <w:rPr>
                <w:rStyle w:val="Hyperlink"/>
                <w:rFonts w:ascii="Atkinson Hyperlegible" w:hAnsi="Atkinson Hyperlegible"/>
                <w:noProof/>
              </w:rPr>
              <w:t>Document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7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91795" w14:textId="7083BDD0" w:rsidR="003F0008" w:rsidRPr="009B2BC5" w:rsidRDefault="002B6E11" w:rsidP="002B6E11">
          <w:pPr>
            <w:pStyle w:val="TOC2"/>
            <w:tabs>
              <w:tab w:val="right" w:leader="dot" w:pos="9015"/>
            </w:tabs>
            <w:spacing w:after="360"/>
            <w:ind w:left="0"/>
            <w:rPr>
              <w:rFonts w:ascii="Atkinson Hyperlegible" w:eastAsia="Calibri" w:hAnsi="Atkinson Hyperlegible" w:cs="Arial"/>
              <w:noProof/>
              <w:szCs w:val="24"/>
              <w:lang w:eastAsia="ja-JP"/>
            </w:rPr>
          </w:pPr>
          <w:r w:rsidRPr="009B2BC5">
            <w:rPr>
              <w:rFonts w:ascii="Atkinson Hyperlegible" w:hAnsi="Atkinson Hyperlegible"/>
            </w:rPr>
            <w:fldChar w:fldCharType="end"/>
          </w:r>
        </w:p>
      </w:sdtContent>
    </w:sdt>
    <w:p w14:paraId="0E354986" w14:textId="6F8AA7E9" w:rsidR="00F228FE" w:rsidRPr="009B2BC5" w:rsidRDefault="00F228FE" w:rsidP="00135E76">
      <w:pPr>
        <w:spacing w:after="360"/>
        <w:rPr>
          <w:rFonts w:ascii="Atkinson Hyperlegible" w:hAnsi="Atkinson Hyperlegible"/>
        </w:rPr>
      </w:pPr>
    </w:p>
    <w:p w14:paraId="1668F9DE" w14:textId="77777777" w:rsidR="00D57903" w:rsidRDefault="00995125" w:rsidP="36C7B31F">
      <w:pPr>
        <w:pStyle w:val="Heading2"/>
        <w:spacing w:before="0" w:after="360"/>
        <w:rPr>
          <w:rFonts w:ascii="Atkinson Hyperlegible" w:hAnsi="Atkinson Hyperlegible"/>
        </w:rPr>
      </w:pPr>
      <w:bookmarkStart w:id="5" w:name="_Toc1922457677"/>
      <w:bookmarkStart w:id="6" w:name="_Toc1210974249"/>
      <w:r w:rsidRPr="009B2BC5">
        <w:rPr>
          <w:rFonts w:ascii="Atkinson Hyperlegible" w:hAnsi="Atkinson Hyperlegible"/>
        </w:rPr>
        <w:br w:type="page"/>
      </w:r>
      <w:bookmarkStart w:id="7" w:name="_Toc110486755"/>
      <w:bookmarkStart w:id="8" w:name="_Toc191730301"/>
      <w:r w:rsidR="00B13742" w:rsidRPr="009B2BC5">
        <w:rPr>
          <w:rFonts w:ascii="Atkinson Hyperlegible" w:hAnsi="Atkinson Hyperlegible"/>
        </w:rPr>
        <w:lastRenderedPageBreak/>
        <w:t>Scope</w:t>
      </w:r>
      <w:bookmarkEnd w:id="7"/>
      <w:bookmarkEnd w:id="8"/>
      <w:r w:rsidR="00D15FF3" w:rsidRPr="009B2BC5">
        <w:rPr>
          <w:rFonts w:ascii="Atkinson Hyperlegible" w:hAnsi="Atkinson Hyperlegible"/>
        </w:rPr>
        <w:t xml:space="preserve"> </w:t>
      </w:r>
      <w:bookmarkEnd w:id="5"/>
      <w:bookmarkEnd w:id="6"/>
    </w:p>
    <w:p w14:paraId="30A40BD3" w14:textId="1F5BBAA1" w:rsidR="00BF1E64" w:rsidRPr="00BF1E64" w:rsidRDefault="00BF1E64" w:rsidP="00BF1E64">
      <w:pPr>
        <w:spacing w:after="360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This policy applies to all </w:t>
      </w:r>
      <w:r w:rsidR="00F24D97">
        <w:rPr>
          <w:rFonts w:ascii="Atkinson Hyperlegible" w:hAnsi="Atkinson Hyperlegible"/>
        </w:rPr>
        <w:t xml:space="preserve">visitors to </w:t>
      </w:r>
      <w:r w:rsidR="005B442A">
        <w:rPr>
          <w:rFonts w:ascii="Atkinson Hyperlegible" w:hAnsi="Atkinson Hyperlegible"/>
        </w:rPr>
        <w:t xml:space="preserve">National Library of Scotland buildings in Edinburgh and Glasgow. This includes people visiting the </w:t>
      </w:r>
      <w:r w:rsidR="0015796B">
        <w:rPr>
          <w:rFonts w:ascii="Atkinson Hyperlegible" w:hAnsi="Atkinson Hyperlegible"/>
        </w:rPr>
        <w:t xml:space="preserve">Visitor </w:t>
      </w:r>
      <w:r w:rsidR="003330FF">
        <w:rPr>
          <w:rFonts w:ascii="Atkinson Hyperlegible" w:hAnsi="Atkinson Hyperlegible"/>
        </w:rPr>
        <w:t xml:space="preserve">and Access </w:t>
      </w:r>
      <w:r w:rsidR="00973545">
        <w:rPr>
          <w:rFonts w:ascii="Atkinson Hyperlegible" w:hAnsi="Atkinson Hyperlegible"/>
        </w:rPr>
        <w:t>Centres, all</w:t>
      </w:r>
      <w:r w:rsidR="003330FF">
        <w:rPr>
          <w:rFonts w:ascii="Atkinson Hyperlegible" w:hAnsi="Atkinson Hyperlegible"/>
        </w:rPr>
        <w:t xml:space="preserve"> </w:t>
      </w:r>
      <w:r w:rsidR="005B442A">
        <w:rPr>
          <w:rFonts w:ascii="Atkinson Hyperlegible" w:hAnsi="Atkinson Hyperlegible"/>
        </w:rPr>
        <w:t xml:space="preserve">reading rooms, </w:t>
      </w:r>
      <w:r w:rsidR="00FF302B">
        <w:rPr>
          <w:rFonts w:ascii="Atkinson Hyperlegible" w:hAnsi="Atkinson Hyperlegible"/>
        </w:rPr>
        <w:t xml:space="preserve">permanent and temporary shops, </w:t>
      </w:r>
      <w:r w:rsidR="003330FF">
        <w:rPr>
          <w:rFonts w:ascii="Atkinson Hyperlegible" w:hAnsi="Atkinson Hyperlegible"/>
        </w:rPr>
        <w:t xml:space="preserve">and the </w:t>
      </w:r>
      <w:r w:rsidR="005652C3">
        <w:rPr>
          <w:rFonts w:ascii="Atkinson Hyperlegible" w:hAnsi="Atkinson Hyperlegible"/>
        </w:rPr>
        <w:t>exhibition and events</w:t>
      </w:r>
      <w:r w:rsidR="00AA618F">
        <w:rPr>
          <w:rFonts w:ascii="Atkinson Hyperlegible" w:hAnsi="Atkinson Hyperlegible"/>
        </w:rPr>
        <w:t xml:space="preserve"> spaces in </w:t>
      </w:r>
      <w:r w:rsidR="00FF302B">
        <w:rPr>
          <w:rFonts w:ascii="Atkinson Hyperlegible" w:hAnsi="Atkinson Hyperlegible"/>
        </w:rPr>
        <w:t>all</w:t>
      </w:r>
      <w:r w:rsidR="00AA618F">
        <w:rPr>
          <w:rFonts w:ascii="Atkinson Hyperlegible" w:hAnsi="Atkinson Hyperlegible"/>
        </w:rPr>
        <w:t xml:space="preserve"> locations. </w:t>
      </w:r>
    </w:p>
    <w:p w14:paraId="712EDE69" w14:textId="48A66406" w:rsidR="006A354E" w:rsidRPr="009B2BC5" w:rsidRDefault="00EF09F6" w:rsidP="36C7B31F">
      <w:pPr>
        <w:pStyle w:val="Heading2"/>
        <w:spacing w:before="0" w:after="360"/>
        <w:rPr>
          <w:rFonts w:ascii="Atkinson Hyperlegible" w:hAnsi="Atkinson Hyperlegible"/>
        </w:rPr>
      </w:pPr>
      <w:bookmarkStart w:id="9" w:name="_Toc22217867"/>
      <w:bookmarkStart w:id="10" w:name="_Toc1538843715"/>
      <w:bookmarkStart w:id="11" w:name="_Toc110486756"/>
      <w:bookmarkStart w:id="12" w:name="_Toc191730302"/>
      <w:r w:rsidRPr="25A07567">
        <w:rPr>
          <w:rFonts w:ascii="Atkinson Hyperlegible" w:hAnsi="Atkinson Hyperlegible"/>
        </w:rPr>
        <w:t>Definitions</w:t>
      </w:r>
      <w:bookmarkEnd w:id="9"/>
      <w:bookmarkEnd w:id="10"/>
      <w:bookmarkEnd w:id="11"/>
      <w:bookmarkEnd w:id="12"/>
    </w:p>
    <w:p w14:paraId="63839EE4" w14:textId="753AF324" w:rsidR="3E8FC47A" w:rsidRDefault="3E8FC47A" w:rsidP="25A07567">
      <w:pPr>
        <w:spacing w:after="360"/>
        <w:rPr>
          <w:rFonts w:ascii="Atkinson Hyperlegible" w:eastAsia="Atkinson Hyperlegible" w:hAnsi="Atkinson Hyperlegible" w:cs="Atkinson Hyperlegible"/>
        </w:rPr>
      </w:pPr>
      <w:r w:rsidRPr="25A07567">
        <w:rPr>
          <w:rFonts w:ascii="Atkinson Hyperlegible" w:eastAsia="Atkinson Hyperlegible" w:hAnsi="Atkinson Hyperlegible" w:cs="Atkinson Hyperlegible"/>
        </w:rPr>
        <w:t xml:space="preserve">For the purposes of this policy, the following terms have the corresponding definitions.  </w:t>
      </w:r>
    </w:p>
    <w:p w14:paraId="676D627B" w14:textId="77777777" w:rsidR="004D2AEA" w:rsidRPr="00DF1091" w:rsidRDefault="0029740D" w:rsidP="000A6092">
      <w:pPr>
        <w:pStyle w:val="ListParagraph"/>
        <w:numPr>
          <w:ilvl w:val="0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>Assistance animal:</w:t>
      </w:r>
      <w:r w:rsidR="005C2749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 </w:t>
      </w:r>
      <w:r w:rsidR="000A6092" w:rsidRPr="00E321B0">
        <w:rPr>
          <w:rFonts w:ascii="Atkinson Hyperlegible" w:hAnsi="Atkinson Hyperlegible" w:cs="Arial"/>
          <w:color w:val="000000"/>
          <w:shd w:val="clear" w:color="auto" w:fill="FFFFFF"/>
        </w:rPr>
        <w:t>an assistance animal is a highly trained animal that helps people with disabilities or long-term medical conditions. </w:t>
      </w:r>
      <w:r w:rsidR="00C52ACF" w:rsidRPr="00E321B0">
        <w:rPr>
          <w:rFonts w:ascii="Atkinson Hyperlegible" w:hAnsi="Atkinson Hyperlegible" w:cs="Arial"/>
          <w:color w:val="000000"/>
          <w:shd w:val="clear" w:color="auto" w:fill="FFFFFF"/>
        </w:rPr>
        <w:t xml:space="preserve"> </w:t>
      </w:r>
      <w:r w:rsidR="008E0E23">
        <w:rPr>
          <w:rFonts w:ascii="Atkinson Hyperlegible" w:hAnsi="Atkinson Hyperlegible" w:cs="Arial"/>
          <w:color w:val="000000"/>
          <w:shd w:val="clear" w:color="auto" w:fill="FFFFFF"/>
        </w:rPr>
        <w:t>Examples of such assistance include</w:t>
      </w:r>
      <w:r w:rsidR="004D2AEA">
        <w:rPr>
          <w:rFonts w:ascii="Atkinson Hyperlegible" w:hAnsi="Atkinson Hyperlegible" w:cs="Arial"/>
          <w:color w:val="000000"/>
          <w:shd w:val="clear" w:color="auto" w:fill="FFFFFF"/>
        </w:rPr>
        <w:t>:</w:t>
      </w:r>
    </w:p>
    <w:p w14:paraId="79411660" w14:textId="5FD7346E" w:rsidR="004D2AEA" w:rsidRPr="00DF1091" w:rsidRDefault="008E0E23" w:rsidP="00DF1091">
      <w:pPr>
        <w:pStyle w:val="ListParagraph"/>
        <w:numPr>
          <w:ilvl w:val="1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</w:rPr>
        <w:t xml:space="preserve">guiding people who are blind or visually impaired, </w:t>
      </w:r>
    </w:p>
    <w:p w14:paraId="3B8BDD3C" w14:textId="77777777" w:rsidR="004D2AEA" w:rsidRPr="00DF1091" w:rsidRDefault="008E0E23" w:rsidP="00DF1091">
      <w:pPr>
        <w:pStyle w:val="ListParagraph"/>
        <w:numPr>
          <w:ilvl w:val="1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</w:rPr>
        <w:t xml:space="preserve">alerting people </w:t>
      </w:r>
      <w:r w:rsidR="00694A45">
        <w:rPr>
          <w:rFonts w:ascii="Atkinson Hyperlegible" w:hAnsi="Atkinson Hyperlegible" w:cs="Arial"/>
          <w:color w:val="000000"/>
          <w:shd w:val="clear" w:color="auto" w:fill="FFFFFF"/>
        </w:rPr>
        <w:t xml:space="preserve">who are deaf or hearing impaired, </w:t>
      </w:r>
    </w:p>
    <w:p w14:paraId="242A0A4F" w14:textId="77777777" w:rsidR="004D2AEA" w:rsidRPr="00DF1091" w:rsidRDefault="00694A45" w:rsidP="00DF1091">
      <w:pPr>
        <w:pStyle w:val="ListParagraph"/>
        <w:numPr>
          <w:ilvl w:val="1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</w:rPr>
        <w:t xml:space="preserve">pulling a wheelchair, </w:t>
      </w:r>
    </w:p>
    <w:p w14:paraId="32CD2B9B" w14:textId="77777777" w:rsidR="004D2AEA" w:rsidRPr="00DF1091" w:rsidRDefault="00694A45" w:rsidP="00DF1091">
      <w:pPr>
        <w:pStyle w:val="ListParagraph"/>
        <w:numPr>
          <w:ilvl w:val="1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</w:rPr>
        <w:t xml:space="preserve">alerting </w:t>
      </w:r>
      <w:r w:rsidR="001D3E6D">
        <w:rPr>
          <w:rFonts w:ascii="Atkinson Hyperlegible" w:hAnsi="Atkinson Hyperlegible" w:cs="Arial"/>
          <w:color w:val="000000"/>
          <w:shd w:val="clear" w:color="auto" w:fill="FFFFFF"/>
        </w:rPr>
        <w:t xml:space="preserve">and protecting a person who is having a seizure, </w:t>
      </w:r>
    </w:p>
    <w:p w14:paraId="17563BEE" w14:textId="77777777" w:rsidR="004D2AEA" w:rsidRPr="00DF1091" w:rsidRDefault="001D3E6D" w:rsidP="00DF1091">
      <w:pPr>
        <w:pStyle w:val="ListParagraph"/>
        <w:numPr>
          <w:ilvl w:val="1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</w:rPr>
        <w:t xml:space="preserve">calming a person during an anxiety attack, </w:t>
      </w:r>
    </w:p>
    <w:p w14:paraId="6AEFDF11" w14:textId="77777777" w:rsidR="004D2AEA" w:rsidRPr="00DF1091" w:rsidRDefault="001D3E6D" w:rsidP="00DF1091">
      <w:pPr>
        <w:pStyle w:val="ListParagraph"/>
        <w:numPr>
          <w:ilvl w:val="1"/>
          <w:numId w:val="16"/>
        </w:numPr>
        <w:spacing w:after="36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</w:rPr>
        <w:t>or performing other duties</w:t>
      </w:r>
      <w:r w:rsidR="0012231A">
        <w:rPr>
          <w:rFonts w:ascii="Atkinson Hyperlegible" w:hAnsi="Atkinson Hyperlegible" w:cs="Arial"/>
          <w:color w:val="000000"/>
          <w:shd w:val="clear" w:color="auto" w:fill="FFFFFF"/>
        </w:rPr>
        <w:t xml:space="preserve">. </w:t>
      </w:r>
    </w:p>
    <w:p w14:paraId="2867BE89" w14:textId="7885F6C0" w:rsidR="00546147" w:rsidRPr="000B1532" w:rsidRDefault="00007E7B" w:rsidP="00024B34">
      <w:pPr>
        <w:spacing w:after="360"/>
        <w:ind w:left="720"/>
        <w:rPr>
          <w:rFonts w:ascii="Atkinson Hyperlegible" w:hAnsi="Atkinson Hyperlegible" w:cs="Arial"/>
          <w:b/>
          <w:bCs/>
          <w:color w:val="000000"/>
          <w:shd w:val="clear" w:color="auto" w:fill="FFFFFF"/>
        </w:rPr>
      </w:pPr>
      <w:r w:rsidRPr="00DF1091">
        <w:rPr>
          <w:rFonts w:ascii="Atkinson Hyperlegible" w:hAnsi="Atkinson Hyperlegible" w:cs="Arial"/>
          <w:color w:val="000000"/>
          <w:shd w:val="clear" w:color="auto" w:fill="FFFFFF"/>
        </w:rPr>
        <w:t xml:space="preserve">Assistance animals are </w:t>
      </w:r>
      <w:r w:rsidR="0012231A" w:rsidRPr="00DF1091">
        <w:rPr>
          <w:rFonts w:ascii="Atkinson Hyperlegible" w:hAnsi="Atkinson Hyperlegible" w:cs="Arial"/>
          <w:color w:val="000000"/>
          <w:shd w:val="clear" w:color="auto" w:fill="FFFFFF"/>
        </w:rPr>
        <w:t xml:space="preserve">working animals and are </w:t>
      </w:r>
      <w:r w:rsidR="00C52ACF" w:rsidRPr="00DF1091">
        <w:rPr>
          <w:rFonts w:ascii="Atkinson Hyperlegible" w:hAnsi="Atkinson Hyperlegible" w:cs="Arial"/>
          <w:color w:val="000000"/>
          <w:shd w:val="clear" w:color="auto" w:fill="FFFFFF"/>
        </w:rPr>
        <w:t>covered by the Equalities Act 2010.</w:t>
      </w:r>
    </w:p>
    <w:p w14:paraId="630F474F" w14:textId="27531D25" w:rsidR="005C2749" w:rsidRPr="000B1532" w:rsidRDefault="00546147" w:rsidP="000B1532">
      <w:pPr>
        <w:pStyle w:val="ListParagraph"/>
        <w:numPr>
          <w:ilvl w:val="0"/>
          <w:numId w:val="16"/>
        </w:numPr>
        <w:spacing w:after="360"/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Service animal: </w:t>
      </w:r>
      <w:r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another term for assistance animal. </w:t>
      </w:r>
    </w:p>
    <w:p w14:paraId="76DA128E" w14:textId="7A0231FD" w:rsidR="0029740D" w:rsidRPr="00E321B0" w:rsidRDefault="0029740D" w:rsidP="00083BFC">
      <w:pPr>
        <w:pStyle w:val="ListParagraph"/>
        <w:numPr>
          <w:ilvl w:val="0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r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Emotional </w:t>
      </w:r>
      <w:r w:rsidR="00E64EFB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>support animal</w:t>
      </w:r>
      <w:r w:rsidR="00EA4E2A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 or ESA:</w:t>
      </w:r>
      <w:r w:rsidR="005C2749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 </w:t>
      </w:r>
      <w:r w:rsidR="00095949">
        <w:rPr>
          <w:rFonts w:ascii="Atkinson Hyperlegible" w:hAnsi="Atkinson Hyperlegible" w:cs="Arial"/>
          <w:color w:val="000000"/>
          <w:shd w:val="clear" w:color="auto" w:fill="FFFFFF"/>
        </w:rPr>
        <w:t>a</w:t>
      </w:r>
      <w:r w:rsidR="00E24C6D" w:rsidRPr="00E321B0">
        <w:rPr>
          <w:rFonts w:ascii="Atkinson Hyperlegible" w:hAnsi="Atkinson Hyperlegible" w:cs="Arial"/>
          <w:color w:val="000000"/>
          <w:shd w:val="clear" w:color="auto" w:fill="FFFFFF"/>
        </w:rPr>
        <w:t>n emotional support animal (ESA) is a pet that helps someone with a mental health or psychiatric disability. </w:t>
      </w:r>
      <w:r w:rsidR="003C0844">
        <w:rPr>
          <w:rFonts w:ascii="Atkinson Hyperlegible" w:hAnsi="Atkinson Hyperlegible" w:cs="Arial"/>
          <w:color w:val="000000"/>
          <w:shd w:val="clear" w:color="auto" w:fill="FFFFFF"/>
        </w:rPr>
        <w:t xml:space="preserve">Emotional support animals have no official </w:t>
      </w:r>
      <w:r w:rsidR="001C357C">
        <w:rPr>
          <w:rFonts w:ascii="Atkinson Hyperlegible" w:hAnsi="Atkinson Hyperlegible" w:cs="Arial"/>
          <w:color w:val="000000"/>
          <w:shd w:val="clear" w:color="auto" w:fill="FFFFFF"/>
        </w:rPr>
        <w:t xml:space="preserve">training structure or legal recognition in the United Kingdom. </w:t>
      </w:r>
    </w:p>
    <w:p w14:paraId="4C72D6F8" w14:textId="77777777" w:rsidR="005C2749" w:rsidRPr="00E321B0" w:rsidRDefault="005C2749" w:rsidP="005C2749">
      <w:pPr>
        <w:pStyle w:val="ListParagraph"/>
        <w:numPr>
          <w:ilvl w:val="0"/>
          <w:numId w:val="0"/>
        </w:numPr>
        <w:spacing w:after="360"/>
        <w:ind w:left="720"/>
        <w:rPr>
          <w:rStyle w:val="normaltextrun"/>
          <w:rFonts w:ascii="Atkinson Hyperlegible" w:eastAsia="Atkinson Hyperlegible" w:hAnsi="Atkinson Hyperlegible" w:cs="Atkinson Hyperlegible"/>
        </w:rPr>
      </w:pPr>
    </w:p>
    <w:p w14:paraId="3845C145" w14:textId="7DEA15A4" w:rsidR="00E67034" w:rsidRPr="00024B34" w:rsidRDefault="000779D2" w:rsidP="00024B34">
      <w:pPr>
        <w:pStyle w:val="ListParagraph"/>
        <w:numPr>
          <w:ilvl w:val="0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hyperlink r:id="rId10" w:history="1">
        <w:r w:rsidRPr="004E4BE5">
          <w:rPr>
            <w:rStyle w:val="Hyperlink"/>
            <w:rFonts w:ascii="Atkinson Hyperlegible" w:hAnsi="Atkinson Hyperlegible" w:cs="Arial"/>
            <w:b/>
            <w:bCs/>
            <w:shd w:val="clear" w:color="auto" w:fill="FFFFFF"/>
          </w:rPr>
          <w:t>Equality Act 2010</w:t>
        </w:r>
      </w:hyperlink>
      <w:r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>:</w:t>
      </w:r>
      <w:r w:rsidR="00DC7A3F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 </w:t>
      </w:r>
      <w:r w:rsidR="00E321B0">
        <w:rPr>
          <w:rFonts w:ascii="Atkinson Hyperlegible" w:hAnsi="Atkinson Hyperlegible" w:cs="Arial"/>
          <w:color w:val="000000"/>
          <w:shd w:val="clear" w:color="auto" w:fill="FFFFFF"/>
        </w:rPr>
        <w:t>the</w:t>
      </w:r>
      <w:r w:rsidR="00E67034" w:rsidRPr="00E321B0">
        <w:rPr>
          <w:rFonts w:ascii="Atkinson Hyperlegible" w:hAnsi="Atkinson Hyperlegible" w:cs="Arial"/>
          <w:color w:val="000000"/>
          <w:shd w:val="clear" w:color="auto" w:fill="FFFFFF"/>
        </w:rPr>
        <w:t xml:space="preserve"> </w:t>
      </w:r>
      <w:r w:rsidR="004E4BE5" w:rsidRPr="00DF1091">
        <w:t>Act</w:t>
      </w:r>
      <w:r w:rsidR="00E67034" w:rsidRPr="00E321B0">
        <w:rPr>
          <w:rFonts w:ascii="Atkinson Hyperlegible" w:hAnsi="Atkinson Hyperlegible" w:cs="Arial"/>
          <w:color w:val="000000"/>
          <w:shd w:val="clear" w:color="auto" w:fill="FFFFFF"/>
        </w:rPr>
        <w:t xml:space="preserve"> that provides a legal framework to protect the rights of individuals and advance equality of opportunity for all.</w:t>
      </w:r>
    </w:p>
    <w:p w14:paraId="4BCD03D4" w14:textId="7723373D" w:rsidR="007F695D" w:rsidRPr="00024B34" w:rsidRDefault="008C318D" w:rsidP="00024B34">
      <w:pPr>
        <w:pStyle w:val="ListParagraph"/>
        <w:numPr>
          <w:ilvl w:val="0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r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>Owner:</w:t>
      </w:r>
      <w:r w:rsidR="00A22A3B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 </w:t>
      </w:r>
      <w:r w:rsidR="00A22A3B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a person who </w:t>
      </w:r>
      <w:r w:rsidR="00011137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legally owns an animal. </w:t>
      </w:r>
    </w:p>
    <w:p w14:paraId="395DFDB1" w14:textId="74E35295" w:rsidR="007F695D" w:rsidRPr="00024B34" w:rsidRDefault="008C318D" w:rsidP="00024B34">
      <w:pPr>
        <w:pStyle w:val="ListParagraph"/>
        <w:numPr>
          <w:ilvl w:val="0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r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>Custodian:</w:t>
      </w:r>
      <w:r w:rsidR="007F695D"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 </w:t>
      </w:r>
      <w:r w:rsidR="007F695D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a person who has responsibility for taking care of an animal. </w:t>
      </w:r>
    </w:p>
    <w:p w14:paraId="44E6950E" w14:textId="7DC13FA3" w:rsidR="00FF35CD" w:rsidRPr="00DF1091" w:rsidRDefault="00EF21F1" w:rsidP="00FF35CD">
      <w:pPr>
        <w:pStyle w:val="ListParagraph"/>
        <w:numPr>
          <w:ilvl w:val="0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r w:rsidRPr="00E321B0">
        <w:rPr>
          <w:rStyle w:val="normaltextrun"/>
          <w:rFonts w:ascii="Atkinson Hyperlegible" w:hAnsi="Atkinson Hyperlegible" w:cs="Arial"/>
          <w:b/>
          <w:bCs/>
          <w:color w:val="000000"/>
          <w:shd w:val="clear" w:color="auto" w:fill="FFFFFF"/>
        </w:rPr>
        <w:t xml:space="preserve">Library buildings: </w:t>
      </w:r>
      <w:r w:rsidR="007327D5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National Library of Scotland </w:t>
      </w:r>
      <w:r w:rsidR="00BB5891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>buildings located at</w:t>
      </w:r>
      <w:r w:rsidR="00FF35CD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>:</w:t>
      </w:r>
      <w:r w:rsidR="00BB5891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 </w:t>
      </w:r>
    </w:p>
    <w:p w14:paraId="2AC92EEF" w14:textId="77777777" w:rsidR="00FF35CD" w:rsidRPr="00DF1091" w:rsidRDefault="00FB3A08" w:rsidP="00FF35CD">
      <w:pPr>
        <w:pStyle w:val="ListParagraph"/>
        <w:numPr>
          <w:ilvl w:val="1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r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>57</w:t>
      </w:r>
      <w:r w:rsidR="004B7338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 </w:t>
      </w:r>
      <w:r w:rsidR="00BB5891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George IV Bridge, Edinburgh; </w:t>
      </w:r>
    </w:p>
    <w:p w14:paraId="4F699924" w14:textId="77777777" w:rsidR="00FF35CD" w:rsidRPr="00DF1091" w:rsidRDefault="00DF0137" w:rsidP="00FF35CD">
      <w:pPr>
        <w:pStyle w:val="ListParagraph"/>
        <w:numPr>
          <w:ilvl w:val="1"/>
          <w:numId w:val="16"/>
        </w:numPr>
        <w:spacing w:after="360"/>
        <w:rPr>
          <w:rStyle w:val="normaltextrun"/>
          <w:rFonts w:ascii="Atkinson Hyperlegible" w:eastAsia="Atkinson Hyperlegible" w:hAnsi="Atkinson Hyperlegible" w:cs="Atkinson Hyperlegible"/>
        </w:rPr>
      </w:pPr>
      <w:r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Causewayside, </w:t>
      </w:r>
      <w:r w:rsidR="004B7338" w:rsidRPr="00E321B0">
        <w:rPr>
          <w:rStyle w:val="normaltextrun"/>
          <w:rFonts w:ascii="Atkinson Hyperlegible" w:hAnsi="Atkinson Hyperlegible" w:cs="Arial"/>
          <w:color w:val="000000"/>
          <w:shd w:val="clear" w:color="auto" w:fill="FFFFFF"/>
        </w:rPr>
        <w:t xml:space="preserve">33 Salisbury Place, Edinburgh; </w:t>
      </w:r>
    </w:p>
    <w:p w14:paraId="68FB7CEB" w14:textId="7E7F7D06" w:rsidR="00BF6D28" w:rsidRPr="00024B34" w:rsidRDefault="0045350C" w:rsidP="00024B34">
      <w:pPr>
        <w:pStyle w:val="ListParagraph"/>
        <w:numPr>
          <w:ilvl w:val="1"/>
          <w:numId w:val="16"/>
        </w:numPr>
        <w:spacing w:after="360"/>
        <w:rPr>
          <w:rFonts w:ascii="Atkinson Hyperlegible" w:eastAsia="Atkinson Hyperlegible" w:hAnsi="Atkinson Hyperlegible" w:cs="Atkinson Hyperlegible"/>
        </w:rPr>
      </w:pPr>
      <w:r w:rsidRPr="00E321B0">
        <w:rPr>
          <w:rFonts w:ascii="Atkinson Hyperlegible" w:hAnsi="Atkinson Hyperlegible" w:cs="Arial"/>
          <w:color w:val="000000"/>
          <w:shd w:val="clear" w:color="auto" w:fill="FFFFFF"/>
        </w:rPr>
        <w:t>312-320 Lawnmarket, Edinburgh</w:t>
      </w:r>
      <w:r w:rsidR="001A5787" w:rsidRPr="00E321B0">
        <w:rPr>
          <w:rFonts w:ascii="Atkinson Hyperlegible" w:hAnsi="Atkinson Hyperlegible" w:cs="Arial"/>
          <w:color w:val="000000"/>
          <w:shd w:val="clear" w:color="auto" w:fill="FFFFFF"/>
        </w:rPr>
        <w:t xml:space="preserve">; and Kelvin Hall, 1445 Argyle Street, Glasgow. </w:t>
      </w:r>
    </w:p>
    <w:p w14:paraId="70E053CB" w14:textId="2FB94E45" w:rsidR="00BF6D28" w:rsidRPr="00BF6D28" w:rsidRDefault="00BF6D28" w:rsidP="25A07567">
      <w:pPr>
        <w:pStyle w:val="ListParagraph"/>
        <w:numPr>
          <w:ilvl w:val="0"/>
          <w:numId w:val="16"/>
        </w:numPr>
        <w:spacing w:after="360"/>
        <w:rPr>
          <w:rFonts w:ascii="Atkinson Hyperlegible" w:eastAsia="Atkinson Hyperlegible" w:hAnsi="Atkinson Hyperlegible" w:cs="Atkinson Hyperlegible"/>
          <w:b/>
          <w:bCs/>
        </w:rPr>
      </w:pPr>
      <w:r w:rsidRPr="00BF6D28">
        <w:rPr>
          <w:rFonts w:ascii="Atkinson Hyperlegible" w:eastAsia="Atkinson Hyperlegible" w:hAnsi="Atkinson Hyperlegible" w:cs="Atkinson Hyperlegible"/>
          <w:b/>
          <w:bCs/>
        </w:rPr>
        <w:t xml:space="preserve">Library staff: </w:t>
      </w:r>
      <w:r>
        <w:rPr>
          <w:rFonts w:ascii="Atkinson Hyperlegible" w:eastAsia="Atkinson Hyperlegible" w:hAnsi="Atkinson Hyperlegible" w:cs="Atkinson Hyperlegible"/>
        </w:rPr>
        <w:t xml:space="preserve">all staff employed by the National Library of Scotland. </w:t>
      </w:r>
    </w:p>
    <w:p w14:paraId="055A5225" w14:textId="441548FC" w:rsidR="00A40A26" w:rsidRDefault="004C62E8" w:rsidP="36C7B31F">
      <w:pPr>
        <w:pStyle w:val="Heading2"/>
        <w:spacing w:before="0" w:after="360"/>
        <w:rPr>
          <w:rFonts w:ascii="Atkinson Hyperlegible" w:hAnsi="Atkinson Hyperlegible"/>
        </w:rPr>
      </w:pPr>
      <w:bookmarkStart w:id="13" w:name="_Toc110486757"/>
      <w:bookmarkStart w:id="14" w:name="_Toc191730303"/>
      <w:bookmarkStart w:id="15" w:name="_Toc252408884"/>
      <w:bookmarkStart w:id="16" w:name="_Toc272339631"/>
      <w:r w:rsidRPr="009B2BC5">
        <w:rPr>
          <w:rFonts w:ascii="Atkinson Hyperlegible" w:hAnsi="Atkinson Hyperlegible"/>
        </w:rPr>
        <w:t xml:space="preserve">Policy </w:t>
      </w:r>
      <w:r w:rsidR="009178F1" w:rsidRPr="009B2BC5">
        <w:rPr>
          <w:rFonts w:ascii="Atkinson Hyperlegible" w:hAnsi="Atkinson Hyperlegible"/>
        </w:rPr>
        <w:t>s</w:t>
      </w:r>
      <w:r w:rsidRPr="009B2BC5">
        <w:rPr>
          <w:rFonts w:ascii="Atkinson Hyperlegible" w:hAnsi="Atkinson Hyperlegible"/>
        </w:rPr>
        <w:t>tatement</w:t>
      </w:r>
      <w:bookmarkEnd w:id="13"/>
      <w:bookmarkEnd w:id="14"/>
      <w:r w:rsidRPr="009B2BC5">
        <w:rPr>
          <w:rFonts w:ascii="Atkinson Hyperlegible" w:hAnsi="Atkinson Hyperlegible"/>
        </w:rPr>
        <w:t xml:space="preserve"> </w:t>
      </w:r>
      <w:bookmarkEnd w:id="15"/>
      <w:bookmarkEnd w:id="16"/>
    </w:p>
    <w:p w14:paraId="31473C56" w14:textId="454D53F6" w:rsidR="007327D5" w:rsidRDefault="007327D5" w:rsidP="007327D5">
      <w:pPr>
        <w:spacing w:after="360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The </w:t>
      </w:r>
      <w:r w:rsidR="00AF70E9">
        <w:rPr>
          <w:rFonts w:ascii="Atkinson Hyperlegible" w:hAnsi="Atkinson Hyperlegible"/>
        </w:rPr>
        <w:t xml:space="preserve">National Library of Scotland </w:t>
      </w:r>
      <w:r w:rsidR="00D2325C">
        <w:rPr>
          <w:rFonts w:ascii="Atkinson Hyperlegible" w:hAnsi="Atkinson Hyperlegible"/>
        </w:rPr>
        <w:t xml:space="preserve">permits assistance and emotional support animals in Library buildings. </w:t>
      </w:r>
      <w:r w:rsidR="009710BC">
        <w:rPr>
          <w:rFonts w:ascii="Atkinson Hyperlegible" w:hAnsi="Atkinson Hyperlegible"/>
        </w:rPr>
        <w:t xml:space="preserve">To enter Library buildings, assistance and emotional support animals </w:t>
      </w:r>
      <w:r w:rsidR="007B634E">
        <w:rPr>
          <w:rFonts w:ascii="Atkinson Hyperlegible" w:hAnsi="Atkinson Hyperlegible"/>
        </w:rPr>
        <w:t>must:</w:t>
      </w:r>
    </w:p>
    <w:p w14:paraId="3504183F" w14:textId="77777777" w:rsidR="00FD5360" w:rsidRDefault="007B634E" w:rsidP="00FD5360">
      <w:pPr>
        <w:numPr>
          <w:ilvl w:val="0"/>
          <w:numId w:val="20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t>Be highly trained.</w:t>
      </w:r>
      <w:r w:rsidRPr="007B634E">
        <w:rPr>
          <w:rFonts w:ascii="Atkinson Hyperlegible" w:hAnsi="Atkinson Hyperlegible"/>
        </w:rPr>
        <w:t> </w:t>
      </w:r>
    </w:p>
    <w:p w14:paraId="4EF4E909" w14:textId="4C5A087A" w:rsidR="007B634E" w:rsidRPr="00FD5360" w:rsidRDefault="007B634E" w:rsidP="00FD5360">
      <w:pPr>
        <w:numPr>
          <w:ilvl w:val="0"/>
          <w:numId w:val="20"/>
        </w:numPr>
        <w:spacing w:after="360"/>
        <w:rPr>
          <w:rFonts w:ascii="Atkinson Hyperlegible" w:hAnsi="Atkinson Hyperlegible"/>
        </w:rPr>
      </w:pPr>
      <w:r w:rsidRPr="00FD5360">
        <w:rPr>
          <w:rFonts w:ascii="Atkinson Hyperlegible" w:hAnsi="Atkinson Hyperlegible"/>
          <w:lang w:val="en-US"/>
        </w:rPr>
        <w:t>Always be under the control of the owner or custodian.</w:t>
      </w:r>
      <w:r w:rsidRPr="00FD5360">
        <w:rPr>
          <w:rFonts w:ascii="Atkinson Hyperlegible" w:hAnsi="Atkinson Hyperlegible"/>
        </w:rPr>
        <w:t> </w:t>
      </w:r>
    </w:p>
    <w:p w14:paraId="249CD6C3" w14:textId="2C6CB8A4" w:rsidR="007B634E" w:rsidRPr="007B634E" w:rsidRDefault="007B634E" w:rsidP="007B634E">
      <w:pPr>
        <w:numPr>
          <w:ilvl w:val="0"/>
          <w:numId w:val="22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t>Be harnessed, leashed, tethered or caged unless doing so would interfere with the animal</w:t>
      </w:r>
      <w:r w:rsidR="00994622">
        <w:rPr>
          <w:rFonts w:ascii="Atkinson Hyperlegible" w:hAnsi="Atkinson Hyperlegible"/>
          <w:lang w:val="en-US"/>
        </w:rPr>
        <w:t>'</w:t>
      </w:r>
      <w:r w:rsidRPr="007B634E">
        <w:rPr>
          <w:rFonts w:ascii="Atkinson Hyperlegible" w:hAnsi="Atkinson Hyperlegible"/>
          <w:lang w:val="en-US"/>
        </w:rPr>
        <w:t>s work or the owner</w:t>
      </w:r>
      <w:r w:rsidR="00800C89">
        <w:rPr>
          <w:rFonts w:ascii="Atkinson Hyperlegible" w:hAnsi="Atkinson Hyperlegible"/>
          <w:lang w:val="en-US"/>
        </w:rPr>
        <w:t xml:space="preserve"> or </w:t>
      </w:r>
      <w:r w:rsidRPr="007B634E">
        <w:rPr>
          <w:rFonts w:ascii="Atkinson Hyperlegible" w:hAnsi="Atkinson Hyperlegible"/>
          <w:lang w:val="en-US"/>
        </w:rPr>
        <w:t>custodian</w:t>
      </w:r>
      <w:r w:rsidR="00994622">
        <w:rPr>
          <w:rFonts w:ascii="Atkinson Hyperlegible" w:hAnsi="Atkinson Hyperlegible"/>
          <w:lang w:val="en-US"/>
        </w:rPr>
        <w:t>'</w:t>
      </w:r>
      <w:r w:rsidRPr="007B634E">
        <w:rPr>
          <w:rFonts w:ascii="Atkinson Hyperlegible" w:hAnsi="Atkinson Hyperlegible"/>
          <w:lang w:val="en-US"/>
        </w:rPr>
        <w:t>s disability prevents the use of such devices. In such a case, the owner</w:t>
      </w:r>
      <w:r w:rsidR="00800C89">
        <w:rPr>
          <w:rFonts w:ascii="Atkinson Hyperlegible" w:hAnsi="Atkinson Hyperlegible"/>
          <w:lang w:val="en-US"/>
        </w:rPr>
        <w:t xml:space="preserve"> or </w:t>
      </w:r>
      <w:r w:rsidRPr="007B634E">
        <w:rPr>
          <w:rFonts w:ascii="Atkinson Hyperlegible" w:hAnsi="Atkinson Hyperlegible"/>
          <w:lang w:val="en-US"/>
        </w:rPr>
        <w:t>custodian must maintain control of the animal through voice, signal, or other effective controls. </w:t>
      </w:r>
      <w:r w:rsidRPr="007B634E">
        <w:rPr>
          <w:rFonts w:ascii="Atkinson Hyperlegible" w:hAnsi="Atkinson Hyperlegible"/>
        </w:rPr>
        <w:t> </w:t>
      </w:r>
    </w:p>
    <w:p w14:paraId="2FE7BE2C" w14:textId="2F22071B" w:rsidR="007B634E" w:rsidRPr="007B634E" w:rsidRDefault="007B634E" w:rsidP="007B634E">
      <w:pPr>
        <w:numPr>
          <w:ilvl w:val="0"/>
          <w:numId w:val="23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t>Where possible, wear a vest</w:t>
      </w:r>
      <w:r w:rsidR="00733B76">
        <w:rPr>
          <w:rFonts w:ascii="Atkinson Hyperlegible" w:hAnsi="Atkinson Hyperlegible"/>
          <w:lang w:val="en-US"/>
        </w:rPr>
        <w:t xml:space="preserve"> or other </w:t>
      </w:r>
      <w:r w:rsidR="00E94ADF">
        <w:rPr>
          <w:rFonts w:ascii="Atkinson Hyperlegible" w:hAnsi="Atkinson Hyperlegible"/>
          <w:lang w:val="en-US"/>
        </w:rPr>
        <w:t>accessory</w:t>
      </w:r>
      <w:r w:rsidRPr="007B634E">
        <w:rPr>
          <w:rFonts w:ascii="Atkinson Hyperlegible" w:hAnsi="Atkinson Hyperlegible"/>
          <w:lang w:val="en-US"/>
        </w:rPr>
        <w:t xml:space="preserve"> identifying it as an assistance</w:t>
      </w:r>
      <w:r w:rsidR="00800C89">
        <w:rPr>
          <w:rFonts w:ascii="Atkinson Hyperlegible" w:hAnsi="Atkinson Hyperlegible"/>
          <w:lang w:val="en-US"/>
        </w:rPr>
        <w:t xml:space="preserve"> or </w:t>
      </w:r>
      <w:r w:rsidRPr="007B634E">
        <w:rPr>
          <w:rFonts w:ascii="Atkinson Hyperlegible" w:hAnsi="Atkinson Hyperlegible"/>
          <w:lang w:val="en-US"/>
        </w:rPr>
        <w:t>emotional support animal.</w:t>
      </w:r>
      <w:r w:rsidRPr="007B634E">
        <w:rPr>
          <w:rFonts w:ascii="Atkinson Hyperlegible" w:hAnsi="Atkinson Hyperlegible"/>
        </w:rPr>
        <w:t> </w:t>
      </w:r>
    </w:p>
    <w:p w14:paraId="687774D3" w14:textId="77777777" w:rsidR="007B634E" w:rsidRPr="007B634E" w:rsidRDefault="007B634E" w:rsidP="007B634E">
      <w:pPr>
        <w:numPr>
          <w:ilvl w:val="0"/>
          <w:numId w:val="24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lastRenderedPageBreak/>
        <w:t>Not demonstrate disruptive, agitated, or aggressive behaviour, including but not limited to barking, whining, biting, growling, jumping, scratching, leash pulling, sniffing, or any harassment of Library visitors or staff.</w:t>
      </w:r>
      <w:r w:rsidRPr="007B634E">
        <w:rPr>
          <w:rFonts w:ascii="Atkinson Hyperlegible" w:hAnsi="Atkinson Hyperlegible"/>
        </w:rPr>
        <w:t> </w:t>
      </w:r>
    </w:p>
    <w:p w14:paraId="49C9B07F" w14:textId="77777777" w:rsidR="007B634E" w:rsidRPr="007B634E" w:rsidRDefault="007B634E" w:rsidP="007B634E">
      <w:pPr>
        <w:numPr>
          <w:ilvl w:val="0"/>
          <w:numId w:val="25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t>Not foul Library buildings.</w:t>
      </w:r>
      <w:r w:rsidRPr="007B634E">
        <w:rPr>
          <w:rFonts w:ascii="Atkinson Hyperlegible" w:hAnsi="Atkinson Hyperlegible"/>
        </w:rPr>
        <w:t> </w:t>
      </w:r>
    </w:p>
    <w:p w14:paraId="5984DCEA" w14:textId="4D3CCB26" w:rsidR="007B634E" w:rsidRPr="007B634E" w:rsidRDefault="007B634E" w:rsidP="007B634E">
      <w:pPr>
        <w:numPr>
          <w:ilvl w:val="0"/>
          <w:numId w:val="26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t xml:space="preserve">Only eat and drink within the cafe or packed lunch area of the Visitor Centre at George IV Bridge, the entrance area at Causewayside </w:t>
      </w:r>
      <w:r w:rsidR="003070C8">
        <w:rPr>
          <w:rFonts w:ascii="Atkinson Hyperlegible" w:hAnsi="Atkinson Hyperlegible"/>
          <w:lang w:val="en-US"/>
        </w:rPr>
        <w:t xml:space="preserve">and Lawnmarket, </w:t>
      </w:r>
      <w:r w:rsidRPr="007B634E">
        <w:rPr>
          <w:rFonts w:ascii="Atkinson Hyperlegible" w:hAnsi="Atkinson Hyperlegible"/>
          <w:lang w:val="en-US"/>
        </w:rPr>
        <w:t>and the cafe or corridor area at Kelvin Hall.</w:t>
      </w:r>
      <w:r w:rsidRPr="007B634E">
        <w:rPr>
          <w:rFonts w:ascii="Atkinson Hyperlegible" w:hAnsi="Atkinson Hyperlegible"/>
        </w:rPr>
        <w:t> </w:t>
      </w:r>
    </w:p>
    <w:p w14:paraId="420047CD" w14:textId="61F42ABE" w:rsidR="00DA7BF5" w:rsidRPr="00401176" w:rsidRDefault="007B634E" w:rsidP="00DA7BF5">
      <w:pPr>
        <w:numPr>
          <w:ilvl w:val="0"/>
          <w:numId w:val="27"/>
        </w:numPr>
        <w:spacing w:after="360"/>
        <w:rPr>
          <w:rFonts w:ascii="Atkinson Hyperlegible" w:hAnsi="Atkinson Hyperlegible"/>
        </w:rPr>
      </w:pPr>
      <w:r w:rsidRPr="007B634E">
        <w:rPr>
          <w:rFonts w:ascii="Atkinson Hyperlegible" w:hAnsi="Atkinson Hyperlegible"/>
          <w:lang w:val="en-US"/>
        </w:rPr>
        <w:t>The owner</w:t>
      </w:r>
      <w:r w:rsidR="0056139C">
        <w:rPr>
          <w:rFonts w:ascii="Atkinson Hyperlegible" w:hAnsi="Atkinson Hyperlegible"/>
          <w:lang w:val="en-US"/>
        </w:rPr>
        <w:t xml:space="preserve"> or </w:t>
      </w:r>
      <w:r w:rsidRPr="007B634E">
        <w:rPr>
          <w:rFonts w:ascii="Atkinson Hyperlegible" w:hAnsi="Atkinson Hyperlegible"/>
          <w:lang w:val="en-US"/>
        </w:rPr>
        <w:t>custodian must always ensure the animal</w:t>
      </w:r>
      <w:r w:rsidR="00994622">
        <w:rPr>
          <w:rFonts w:ascii="Atkinson Hyperlegible" w:hAnsi="Atkinson Hyperlegible"/>
          <w:lang w:val="en-US"/>
        </w:rPr>
        <w:t>'</w:t>
      </w:r>
      <w:r w:rsidRPr="007B634E">
        <w:rPr>
          <w:rFonts w:ascii="Atkinson Hyperlegible" w:hAnsi="Atkinson Hyperlegible"/>
          <w:lang w:val="en-US"/>
        </w:rPr>
        <w:t>s welfare.</w:t>
      </w:r>
    </w:p>
    <w:p w14:paraId="6756351B" w14:textId="1B0E5B8F" w:rsidR="006A354E" w:rsidRDefault="00BD775A" w:rsidP="36C7B31F">
      <w:pPr>
        <w:pStyle w:val="Heading2"/>
        <w:spacing w:before="0" w:after="360"/>
        <w:rPr>
          <w:rFonts w:ascii="Atkinson Hyperlegible" w:hAnsi="Atkinson Hyperlegible"/>
        </w:rPr>
      </w:pPr>
      <w:bookmarkStart w:id="17" w:name="_Toc191730304"/>
      <w:r>
        <w:rPr>
          <w:rFonts w:ascii="Atkinson Hyperlegible" w:hAnsi="Atkinson Hyperlegible"/>
        </w:rPr>
        <w:t>Responsibilities of owners or custodians</w:t>
      </w:r>
      <w:bookmarkEnd w:id="17"/>
    </w:p>
    <w:p w14:paraId="1F72DCEC" w14:textId="5332013A" w:rsidR="00BD775A" w:rsidRPr="00BD775A" w:rsidRDefault="00401176" w:rsidP="00BD775A">
      <w:pPr>
        <w:spacing w:after="360"/>
        <w:rPr>
          <w:rFonts w:ascii="Atkinson Hyperlegible" w:hAnsi="Atkinson Hyperlegible"/>
        </w:rPr>
      </w:pPr>
      <w:r w:rsidRPr="00401176">
        <w:rPr>
          <w:rFonts w:ascii="Atkinson Hyperlegible" w:hAnsi="Atkinson Hyperlegible"/>
        </w:rPr>
        <w:t>In the event of an assistance</w:t>
      </w:r>
      <w:r>
        <w:rPr>
          <w:rFonts w:ascii="Atkinson Hyperlegible" w:hAnsi="Atkinson Hyperlegible"/>
        </w:rPr>
        <w:t xml:space="preserve"> or </w:t>
      </w:r>
      <w:r w:rsidRPr="00401176">
        <w:rPr>
          <w:rFonts w:ascii="Atkinson Hyperlegible" w:hAnsi="Atkinson Hyperlegible"/>
        </w:rPr>
        <w:t>emotional support animal or its owner</w:t>
      </w:r>
      <w:r>
        <w:rPr>
          <w:rFonts w:ascii="Atkinson Hyperlegible" w:hAnsi="Atkinson Hyperlegible"/>
        </w:rPr>
        <w:t xml:space="preserve"> or </w:t>
      </w:r>
      <w:r w:rsidRPr="00401176">
        <w:rPr>
          <w:rFonts w:ascii="Atkinson Hyperlegible" w:hAnsi="Atkinson Hyperlegible"/>
        </w:rPr>
        <w:t>custodian not complying with these guidelines, Library staff will remind the owner</w:t>
      </w:r>
      <w:r>
        <w:rPr>
          <w:rFonts w:ascii="Atkinson Hyperlegible" w:hAnsi="Atkinson Hyperlegible"/>
        </w:rPr>
        <w:t xml:space="preserve"> or </w:t>
      </w:r>
      <w:r w:rsidRPr="00401176">
        <w:rPr>
          <w:rFonts w:ascii="Atkinson Hyperlegible" w:hAnsi="Atkinson Hyperlegible"/>
        </w:rPr>
        <w:t>custodian of the need to adhere to this guidance. If the owner</w:t>
      </w:r>
      <w:r w:rsidR="00B952CA">
        <w:rPr>
          <w:rFonts w:ascii="Atkinson Hyperlegible" w:hAnsi="Atkinson Hyperlegible"/>
        </w:rPr>
        <w:t xml:space="preserve"> or </w:t>
      </w:r>
      <w:r w:rsidRPr="00401176">
        <w:rPr>
          <w:rFonts w:ascii="Atkinson Hyperlegible" w:hAnsi="Atkinson Hyperlegible"/>
        </w:rPr>
        <w:t xml:space="preserve">custodian does not take effective action, Library staff will request that the animal be removed from the </w:t>
      </w:r>
      <w:r w:rsidR="00B32A04" w:rsidRPr="00401176">
        <w:rPr>
          <w:rFonts w:ascii="Atkinson Hyperlegible" w:hAnsi="Atkinson Hyperlegible"/>
        </w:rPr>
        <w:t>library</w:t>
      </w:r>
      <w:r w:rsidRPr="00401176">
        <w:rPr>
          <w:rFonts w:ascii="Atkinson Hyperlegible" w:hAnsi="Atkinson Hyperlegible"/>
        </w:rPr>
        <w:t xml:space="preserve"> building. In these cases, the owner</w:t>
      </w:r>
      <w:r w:rsidR="00B952CA">
        <w:rPr>
          <w:rFonts w:ascii="Atkinson Hyperlegible" w:hAnsi="Atkinson Hyperlegible"/>
        </w:rPr>
        <w:t xml:space="preserve"> or </w:t>
      </w:r>
      <w:r w:rsidRPr="00401176">
        <w:rPr>
          <w:rFonts w:ascii="Atkinson Hyperlegible" w:hAnsi="Atkinson Hyperlegible"/>
        </w:rPr>
        <w:t xml:space="preserve">custodian will be able to continue their visit, or visit on another date, without the animal.   </w:t>
      </w:r>
    </w:p>
    <w:p w14:paraId="6A45FAFC" w14:textId="3317C7D4" w:rsidR="0065267F" w:rsidRPr="009B2BC5" w:rsidRDefault="003D5042" w:rsidP="000933BA">
      <w:pPr>
        <w:pStyle w:val="Heading2"/>
        <w:spacing w:after="360"/>
        <w:rPr>
          <w:rFonts w:ascii="Atkinson Hyperlegible" w:hAnsi="Atkinson Hyperlegible"/>
        </w:rPr>
      </w:pPr>
      <w:bookmarkStart w:id="18" w:name="_Toc191730305"/>
      <w:r>
        <w:rPr>
          <w:rFonts w:ascii="Atkinson Hyperlegible" w:hAnsi="Atkinson Hyperlegible"/>
        </w:rPr>
        <w:t>Breaches of policy</w:t>
      </w:r>
      <w:bookmarkEnd w:id="18"/>
    </w:p>
    <w:p w14:paraId="39580BB3" w14:textId="50782681" w:rsidR="00E95C38" w:rsidRPr="009B2BC5" w:rsidRDefault="000C5D1B" w:rsidP="00D4249E">
      <w:pPr>
        <w:spacing w:after="360"/>
        <w:rPr>
          <w:rFonts w:ascii="Atkinson Hyperlegible" w:hAnsi="Atkinson Hyperlegible" w:cs="Arial"/>
          <w:color w:val="000000"/>
          <w:shd w:val="clear" w:color="auto" w:fill="FFFFFF"/>
        </w:rPr>
      </w:pPr>
      <w:r>
        <w:rPr>
          <w:rFonts w:ascii="Atkinson Hyperlegible" w:hAnsi="Atkinson Hyperlegible" w:cs="Arial"/>
          <w:color w:val="000000"/>
          <w:shd w:val="clear" w:color="auto" w:fill="FFFFFF"/>
          <w:lang w:val="it-IT"/>
        </w:rPr>
        <w:t xml:space="preserve">If the owner or custodian of an assistance or emotional support animal </w:t>
      </w:r>
      <w:r w:rsidR="006F29C9">
        <w:rPr>
          <w:rFonts w:ascii="Atkinson Hyperlegible" w:hAnsi="Atkinson Hyperlegible" w:cs="Arial"/>
          <w:color w:val="000000"/>
          <w:shd w:val="clear" w:color="auto" w:fill="FFFFFF"/>
          <w:lang w:val="it-IT"/>
        </w:rPr>
        <w:t xml:space="preserve">refuses to adhere to guidance or requests made by Library staff, the </w:t>
      </w:r>
      <w:r w:rsidR="00821FAC">
        <w:rPr>
          <w:rFonts w:ascii="Atkinson Hyperlegible" w:hAnsi="Atkinson Hyperlegible" w:cs="Arial"/>
          <w:color w:val="000000"/>
          <w:shd w:val="clear" w:color="auto" w:fill="FFFFFF"/>
          <w:lang w:val="it-IT"/>
        </w:rPr>
        <w:t xml:space="preserve">breaches of terms and conditions policy may be invoked. </w:t>
      </w:r>
    </w:p>
    <w:p w14:paraId="44BDE2F3" w14:textId="0DDCC65A" w:rsidR="0065267F" w:rsidRDefault="00A2387E" w:rsidP="36C7B31F">
      <w:pPr>
        <w:pStyle w:val="Heading2"/>
        <w:spacing w:before="0" w:after="360"/>
        <w:rPr>
          <w:rFonts w:ascii="Atkinson Hyperlegible" w:hAnsi="Atkinson Hyperlegible"/>
        </w:rPr>
      </w:pPr>
      <w:bookmarkStart w:id="19" w:name="_Toc191730306"/>
      <w:r>
        <w:rPr>
          <w:rFonts w:ascii="Atkinson Hyperlegible" w:hAnsi="Atkinson Hyperlegible"/>
        </w:rPr>
        <w:t xml:space="preserve">Awareness of </w:t>
      </w:r>
      <w:r w:rsidR="00BF6D28">
        <w:rPr>
          <w:rFonts w:ascii="Atkinson Hyperlegible" w:hAnsi="Atkinson Hyperlegible"/>
        </w:rPr>
        <w:t xml:space="preserve">Library </w:t>
      </w:r>
      <w:r>
        <w:rPr>
          <w:rFonts w:ascii="Atkinson Hyperlegible" w:hAnsi="Atkinson Hyperlegible"/>
        </w:rPr>
        <w:t>staff</w:t>
      </w:r>
      <w:bookmarkEnd w:id="19"/>
    </w:p>
    <w:p w14:paraId="11BF3AF5" w14:textId="12BB81AD" w:rsidR="00A2387E" w:rsidRPr="00A2387E" w:rsidRDefault="00A2387E" w:rsidP="00A2387E">
      <w:pPr>
        <w:spacing w:after="360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Library staff in</w:t>
      </w:r>
      <w:r w:rsidR="00BF6D28">
        <w:rPr>
          <w:rFonts w:ascii="Atkinson Hyperlegible" w:hAnsi="Atkinson Hyperlegible"/>
        </w:rPr>
        <w:t xml:space="preserve"> all public facing roles will </w:t>
      </w:r>
      <w:r w:rsidR="00821FAC">
        <w:rPr>
          <w:rFonts w:ascii="Atkinson Hyperlegible" w:hAnsi="Atkinson Hyperlegible"/>
        </w:rPr>
        <w:t xml:space="preserve">have regular training to make them aware of the </w:t>
      </w:r>
      <w:r w:rsidR="00934962">
        <w:rPr>
          <w:rFonts w:ascii="Atkinson Hyperlegible" w:hAnsi="Atkinson Hyperlegible"/>
        </w:rPr>
        <w:t>library</w:t>
      </w:r>
      <w:r w:rsidR="00821FAC">
        <w:rPr>
          <w:rFonts w:ascii="Atkinson Hyperlegible" w:hAnsi="Atkinson Hyperlegible"/>
        </w:rPr>
        <w:t xml:space="preserve"> policy on assistance and emotional support animals. </w:t>
      </w:r>
    </w:p>
    <w:p w14:paraId="16637123" w14:textId="70962D57" w:rsidR="003613D1" w:rsidRPr="009B2BC5" w:rsidRDefault="00DD6693" w:rsidP="36C7B31F">
      <w:pPr>
        <w:pStyle w:val="Heading2"/>
        <w:spacing w:before="0" w:after="360"/>
        <w:rPr>
          <w:rFonts w:ascii="Atkinson Hyperlegible" w:hAnsi="Atkinson Hyperlegible"/>
          <w:shd w:val="clear" w:color="auto" w:fill="FFFFFF"/>
        </w:rPr>
      </w:pPr>
      <w:bookmarkStart w:id="20" w:name="_Toc27507821"/>
      <w:bookmarkStart w:id="21" w:name="_Toc1276644409"/>
      <w:bookmarkStart w:id="22" w:name="_Toc110486769"/>
      <w:bookmarkStart w:id="23" w:name="_Toc191730307"/>
      <w:r w:rsidRPr="009B2BC5">
        <w:rPr>
          <w:rFonts w:ascii="Atkinson Hyperlegible" w:hAnsi="Atkinson Hyperlegible"/>
          <w:shd w:val="clear" w:color="auto" w:fill="FFFFFF"/>
        </w:rPr>
        <w:lastRenderedPageBreak/>
        <w:t xml:space="preserve">Related </w:t>
      </w:r>
      <w:r w:rsidR="0047219A" w:rsidRPr="009B2BC5">
        <w:rPr>
          <w:rFonts w:ascii="Atkinson Hyperlegible" w:hAnsi="Atkinson Hyperlegible"/>
        </w:rPr>
        <w:t>p</w:t>
      </w:r>
      <w:r w:rsidRPr="009B2BC5">
        <w:rPr>
          <w:rFonts w:ascii="Atkinson Hyperlegible" w:hAnsi="Atkinson Hyperlegible"/>
        </w:rPr>
        <w:t>olicies</w:t>
      </w:r>
      <w:r w:rsidRPr="009B2BC5">
        <w:rPr>
          <w:rFonts w:ascii="Atkinson Hyperlegible" w:hAnsi="Atkinson Hyperlegible"/>
          <w:shd w:val="clear" w:color="auto" w:fill="FFFFFF"/>
        </w:rPr>
        <w:t xml:space="preserve"> a</w:t>
      </w:r>
      <w:r w:rsidR="00C87063" w:rsidRPr="009B2BC5">
        <w:rPr>
          <w:rFonts w:ascii="Atkinson Hyperlegible" w:hAnsi="Atkinson Hyperlegible"/>
          <w:shd w:val="clear" w:color="auto" w:fill="FFFFFF"/>
        </w:rPr>
        <w:t>nd procedures</w:t>
      </w:r>
      <w:bookmarkEnd w:id="20"/>
      <w:bookmarkEnd w:id="21"/>
      <w:bookmarkEnd w:id="22"/>
      <w:bookmarkEnd w:id="23"/>
    </w:p>
    <w:p w14:paraId="7F037C21" w14:textId="77777777" w:rsidR="00EB4345" w:rsidRPr="00EB4345" w:rsidRDefault="00EB4345" w:rsidP="00EB4345">
      <w:pPr>
        <w:pStyle w:val="ListParagraph"/>
        <w:numPr>
          <w:ilvl w:val="0"/>
          <w:numId w:val="19"/>
        </w:numPr>
        <w:spacing w:after="360"/>
        <w:rPr>
          <w:rFonts w:ascii="Atkinson Hyperlegible" w:eastAsiaTheme="majorEastAsia" w:hAnsi="Atkinson Hyperlegible" w:cs="Arial"/>
          <w:b/>
          <w:bCs/>
          <w:sz w:val="28"/>
          <w:szCs w:val="28"/>
        </w:rPr>
      </w:pPr>
      <w:hyperlink r:id="rId11" w:history="1">
        <w:r w:rsidRPr="00EB4345">
          <w:rPr>
            <w:rStyle w:val="Hyperlink"/>
            <w:rFonts w:ascii="Atkinson Hyperlegible" w:hAnsi="Atkinson Hyperlegible"/>
          </w:rPr>
          <w:t>Access policy</w:t>
        </w:r>
      </w:hyperlink>
    </w:p>
    <w:p w14:paraId="4558B140" w14:textId="77777777" w:rsidR="000B7ADD" w:rsidRPr="000B7ADD" w:rsidRDefault="0049655D" w:rsidP="00EB4345">
      <w:pPr>
        <w:pStyle w:val="ListParagraph"/>
        <w:numPr>
          <w:ilvl w:val="0"/>
          <w:numId w:val="19"/>
        </w:numPr>
        <w:spacing w:after="360"/>
        <w:rPr>
          <w:rFonts w:ascii="Atkinson Hyperlegible" w:eastAsiaTheme="majorEastAsia" w:hAnsi="Atkinson Hyperlegible" w:cs="Arial"/>
          <w:b/>
          <w:bCs/>
          <w:sz w:val="28"/>
          <w:szCs w:val="28"/>
        </w:rPr>
      </w:pPr>
      <w:hyperlink r:id="rId12" w:history="1">
        <w:r w:rsidRPr="000B7ADD">
          <w:rPr>
            <w:rStyle w:val="Hyperlink"/>
            <w:rFonts w:ascii="Atkinson Hyperlegible" w:hAnsi="Atkinson Hyperlegible"/>
          </w:rPr>
          <w:t xml:space="preserve">Terms </w:t>
        </w:r>
        <w:r w:rsidR="00471040" w:rsidRPr="000B7ADD">
          <w:rPr>
            <w:rStyle w:val="Hyperlink"/>
            <w:rFonts w:ascii="Atkinson Hyperlegible" w:hAnsi="Atkinson Hyperlegible"/>
          </w:rPr>
          <w:t>and conditions</w:t>
        </w:r>
      </w:hyperlink>
    </w:p>
    <w:p w14:paraId="21E6E9FF" w14:textId="77777777" w:rsidR="00F61D03" w:rsidRPr="00F61D03" w:rsidRDefault="00F61D03" w:rsidP="00EB4345">
      <w:pPr>
        <w:pStyle w:val="ListParagraph"/>
        <w:numPr>
          <w:ilvl w:val="0"/>
          <w:numId w:val="19"/>
        </w:numPr>
        <w:spacing w:after="360"/>
        <w:rPr>
          <w:rFonts w:ascii="Atkinson Hyperlegible" w:eastAsiaTheme="majorEastAsia" w:hAnsi="Atkinson Hyperlegible" w:cs="Arial"/>
          <w:b/>
          <w:bCs/>
          <w:sz w:val="28"/>
          <w:szCs w:val="28"/>
        </w:rPr>
      </w:pPr>
      <w:hyperlink r:id="rId13" w:history="1">
        <w:r w:rsidRPr="00F61D03">
          <w:rPr>
            <w:rStyle w:val="Hyperlink"/>
            <w:rFonts w:ascii="Atkinson Hyperlegible" w:hAnsi="Atkinson Hyperlegible"/>
          </w:rPr>
          <w:t>Breaches of terms and conditions</w:t>
        </w:r>
      </w:hyperlink>
    </w:p>
    <w:p w14:paraId="3E354DA5" w14:textId="03279399" w:rsidR="004E62AC" w:rsidRPr="00821FAC" w:rsidRDefault="00F61D03" w:rsidP="36C7B31F">
      <w:pPr>
        <w:pStyle w:val="ListParagraph"/>
        <w:numPr>
          <w:ilvl w:val="0"/>
          <w:numId w:val="19"/>
        </w:numPr>
        <w:spacing w:after="360"/>
        <w:rPr>
          <w:rFonts w:ascii="Atkinson Hyperlegible" w:eastAsiaTheme="majorEastAsia" w:hAnsi="Atkinson Hyperlegible" w:cs="Arial"/>
          <w:b/>
          <w:bCs/>
          <w:sz w:val="28"/>
          <w:szCs w:val="28"/>
        </w:rPr>
      </w:pPr>
      <w:hyperlink r:id="rId14" w:history="1">
        <w:r w:rsidRPr="00A11C51">
          <w:rPr>
            <w:rStyle w:val="Hyperlink"/>
            <w:rFonts w:ascii="Atkinson Hyperlegible" w:hAnsi="Atkinson Hyperlegible"/>
          </w:rPr>
          <w:t>Service charter</w:t>
        </w:r>
      </w:hyperlink>
      <w:r w:rsidR="00471040">
        <w:rPr>
          <w:rFonts w:ascii="Atkinson Hyperlegible" w:hAnsi="Atkinson Hyperlegible"/>
        </w:rPr>
        <w:t xml:space="preserve"> </w:t>
      </w:r>
      <w:r w:rsidR="004E62AC" w:rsidRPr="00821FAC">
        <w:rPr>
          <w:rFonts w:ascii="Atkinson Hyperlegible" w:hAnsi="Atkinson Hyperlegible"/>
        </w:rPr>
        <w:br w:type="page"/>
      </w:r>
    </w:p>
    <w:p w14:paraId="36803E98" w14:textId="64876EA1" w:rsidR="00016C83" w:rsidRPr="009B2BC5" w:rsidRDefault="00995125" w:rsidP="36C7B31F">
      <w:pPr>
        <w:pStyle w:val="Heading2"/>
        <w:numPr>
          <w:ilvl w:val="0"/>
          <w:numId w:val="0"/>
        </w:numPr>
        <w:spacing w:before="0" w:after="360"/>
        <w:rPr>
          <w:rFonts w:ascii="Atkinson Hyperlegible" w:hAnsi="Atkinson Hyperlegible"/>
        </w:rPr>
      </w:pPr>
      <w:bookmarkStart w:id="24" w:name="_Toc777561918"/>
      <w:bookmarkStart w:id="25" w:name="_Toc959047578"/>
      <w:bookmarkStart w:id="26" w:name="_Toc110486771"/>
      <w:bookmarkStart w:id="27" w:name="_Toc191730308"/>
      <w:r w:rsidRPr="009B2BC5">
        <w:rPr>
          <w:rFonts w:ascii="Atkinson Hyperlegible" w:hAnsi="Atkinson Hyperlegible"/>
        </w:rPr>
        <w:lastRenderedPageBreak/>
        <w:t xml:space="preserve">Document </w:t>
      </w:r>
      <w:r w:rsidR="009178F1" w:rsidRPr="009B2BC5">
        <w:rPr>
          <w:rFonts w:ascii="Atkinson Hyperlegible" w:hAnsi="Atkinson Hyperlegible"/>
        </w:rPr>
        <w:t>i</w:t>
      </w:r>
      <w:r w:rsidRPr="009B2BC5">
        <w:rPr>
          <w:rFonts w:ascii="Atkinson Hyperlegible" w:hAnsi="Atkinson Hyperlegible"/>
        </w:rPr>
        <w:t>nformation</w:t>
      </w:r>
      <w:bookmarkEnd w:id="24"/>
      <w:bookmarkEnd w:id="25"/>
      <w:bookmarkEnd w:id="26"/>
      <w:bookmarkEnd w:id="27"/>
    </w:p>
    <w:p w14:paraId="7A126C42" w14:textId="57F29F8C" w:rsidR="00355B82" w:rsidRPr="009B2BC5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ascii="Atkinson Hyperlegible" w:eastAsiaTheme="minorEastAsia" w:hAnsi="Atkinson Hyperlegible" w:cs="Arial"/>
        </w:rPr>
      </w:pPr>
      <w:r w:rsidRPr="009B2BC5">
        <w:rPr>
          <w:rFonts w:ascii="Atkinson Hyperlegible" w:hAnsi="Atkinson Hyperlegible" w:cs="Arial"/>
        </w:rPr>
        <w:t xml:space="preserve">Document </w:t>
      </w:r>
      <w:r w:rsidR="00E11BBB" w:rsidRPr="009B2BC5">
        <w:rPr>
          <w:rFonts w:ascii="Atkinson Hyperlegible" w:hAnsi="Atkinson Hyperlegible" w:cs="Arial"/>
        </w:rPr>
        <w:t>n</w:t>
      </w:r>
      <w:r w:rsidRPr="009B2BC5">
        <w:rPr>
          <w:rFonts w:ascii="Atkinson Hyperlegible" w:hAnsi="Atkinson Hyperlegible" w:cs="Arial"/>
        </w:rPr>
        <w:t xml:space="preserve">ame: </w:t>
      </w:r>
      <w:r w:rsidR="002C68AB">
        <w:rPr>
          <w:rFonts w:ascii="Atkinson Hyperlegible" w:hAnsi="Atkinson Hyperlegible" w:cs="Arial"/>
        </w:rPr>
        <w:t>Assistance and emotional support animal policy</w:t>
      </w:r>
    </w:p>
    <w:p w14:paraId="7F372D0B" w14:textId="610E8CEE" w:rsidR="00C237AB" w:rsidRPr="009B2BC5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ascii="Atkinson Hyperlegible" w:hAnsi="Atkinson Hyperlegible" w:cs="Arial"/>
        </w:rPr>
      </w:pPr>
      <w:r w:rsidRPr="009B2BC5">
        <w:rPr>
          <w:rFonts w:ascii="Atkinson Hyperlegible" w:hAnsi="Atkinson Hyperlegible" w:cs="Arial"/>
        </w:rPr>
        <w:t xml:space="preserve">Document </w:t>
      </w:r>
      <w:r w:rsidR="00E11BBB" w:rsidRPr="009B2BC5">
        <w:rPr>
          <w:rFonts w:ascii="Atkinson Hyperlegible" w:hAnsi="Atkinson Hyperlegible" w:cs="Arial"/>
        </w:rPr>
        <w:t>s</w:t>
      </w:r>
      <w:r w:rsidRPr="009B2BC5">
        <w:rPr>
          <w:rFonts w:ascii="Atkinson Hyperlegible" w:hAnsi="Atkinson Hyperlegible" w:cs="Arial"/>
        </w:rPr>
        <w:t xml:space="preserve">tatus: </w:t>
      </w:r>
      <w:r w:rsidR="00857B39">
        <w:rPr>
          <w:rFonts w:ascii="Atkinson Hyperlegible" w:hAnsi="Atkinson Hyperlegible" w:cs="Arial"/>
        </w:rPr>
        <w:t>approved</w:t>
      </w:r>
    </w:p>
    <w:p w14:paraId="1042E47A" w14:textId="02E09E79" w:rsidR="005A2812" w:rsidRPr="009B2BC5" w:rsidRDefault="00E86F5F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ascii="Atkinson Hyperlegible" w:hAnsi="Atkinson Hyperlegible" w:cs="Arial"/>
        </w:rPr>
      </w:pPr>
      <w:r w:rsidRPr="009B2BC5">
        <w:rPr>
          <w:rFonts w:ascii="Atkinson Hyperlegible" w:hAnsi="Atkinson Hyperlegible" w:cs="Arial"/>
        </w:rPr>
        <w:t>Contact</w:t>
      </w:r>
      <w:r w:rsidR="00995125" w:rsidRPr="009B2BC5">
        <w:rPr>
          <w:rFonts w:ascii="Atkinson Hyperlegible" w:hAnsi="Atkinson Hyperlegible" w:cs="Arial"/>
        </w:rPr>
        <w:t>:</w:t>
      </w:r>
      <w:r w:rsidR="00C237AB" w:rsidRPr="009B2BC5">
        <w:rPr>
          <w:rFonts w:ascii="Atkinson Hyperlegible" w:hAnsi="Atkinson Hyperlegible" w:cs="Arial"/>
        </w:rPr>
        <w:t xml:space="preserve"> </w:t>
      </w:r>
      <w:r w:rsidR="00857B39">
        <w:rPr>
          <w:rFonts w:ascii="Atkinson Hyperlegible" w:hAnsi="Atkinson Hyperlegible" w:cs="Arial"/>
        </w:rPr>
        <w:t>Head of Reader Services</w:t>
      </w:r>
    </w:p>
    <w:p w14:paraId="24937FAB" w14:textId="552BE6D2" w:rsidR="00323243" w:rsidRPr="009B2BC5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ascii="Atkinson Hyperlegible" w:hAnsi="Atkinson Hyperlegible" w:cs="Arial"/>
        </w:rPr>
      </w:pPr>
      <w:r w:rsidRPr="009B2BC5">
        <w:rPr>
          <w:rFonts w:ascii="Atkinson Hyperlegible" w:hAnsi="Atkinson Hyperlegible"/>
        </w:rPr>
        <w:t>App</w:t>
      </w:r>
      <w:r w:rsidR="00192226" w:rsidRPr="009B2BC5">
        <w:rPr>
          <w:rFonts w:ascii="Atkinson Hyperlegible" w:hAnsi="Atkinson Hyperlegible"/>
        </w:rPr>
        <w:t xml:space="preserve">roval: </w:t>
      </w:r>
    </w:p>
    <w:p w14:paraId="35E4C62D" w14:textId="681EDD68" w:rsidR="00323243" w:rsidRPr="009B2BC5" w:rsidRDefault="00323243" w:rsidP="00716DC7">
      <w:pPr>
        <w:pStyle w:val="ListParagraph"/>
        <w:spacing w:after="360"/>
        <w:ind w:hanging="357"/>
        <w:rPr>
          <w:rFonts w:ascii="Atkinson Hyperlegible" w:eastAsiaTheme="minorEastAsia" w:hAnsi="Atkinson Hyperlegible" w:cs="Arial"/>
        </w:rPr>
      </w:pPr>
      <w:r w:rsidRPr="00716DC7">
        <w:rPr>
          <w:rFonts w:ascii="Atkinson Hyperlegible" w:eastAsiaTheme="minorEastAsia" w:hAnsi="Atkinson Hyperlegible" w:cs="Arial"/>
        </w:rPr>
        <w:t>Date of L</w:t>
      </w:r>
      <w:r w:rsidR="00EA3BBB" w:rsidRPr="00716DC7">
        <w:rPr>
          <w:rFonts w:ascii="Atkinson Hyperlegible" w:eastAsiaTheme="minorEastAsia" w:hAnsi="Atkinson Hyperlegible" w:cs="Arial"/>
        </w:rPr>
        <w:t xml:space="preserve">ibrary </w:t>
      </w:r>
      <w:r w:rsidRPr="00716DC7">
        <w:rPr>
          <w:rFonts w:ascii="Atkinson Hyperlegible" w:eastAsiaTheme="minorEastAsia" w:hAnsi="Atkinson Hyperlegible" w:cs="Arial"/>
        </w:rPr>
        <w:t>L</w:t>
      </w:r>
      <w:r w:rsidR="00EA3BBB" w:rsidRPr="00716DC7">
        <w:rPr>
          <w:rFonts w:ascii="Atkinson Hyperlegible" w:eastAsiaTheme="minorEastAsia" w:hAnsi="Atkinson Hyperlegible" w:cs="Arial"/>
        </w:rPr>
        <w:t>eadership Team</w:t>
      </w:r>
      <w:r w:rsidRPr="00716DC7">
        <w:rPr>
          <w:rFonts w:ascii="Atkinson Hyperlegible" w:eastAsiaTheme="minorEastAsia" w:hAnsi="Atkinson Hyperlegible" w:cs="Arial"/>
        </w:rPr>
        <w:t xml:space="preserve"> Approval: </w:t>
      </w:r>
      <w:r w:rsidR="54744238" w:rsidRPr="00716DC7">
        <w:rPr>
          <w:rFonts w:ascii="Atkinson Hyperlegible" w:eastAsiaTheme="minorEastAsia" w:hAnsi="Atkinson Hyperlegible" w:cs="Arial"/>
        </w:rPr>
        <w:t>1 April 2025</w:t>
      </w:r>
    </w:p>
    <w:p w14:paraId="6F1D07B0" w14:textId="32FE3CC6" w:rsidR="00995125" w:rsidRPr="009B2BC5" w:rsidRDefault="00995125" w:rsidP="36C7B31F">
      <w:pPr>
        <w:pStyle w:val="ListParagraph"/>
        <w:numPr>
          <w:ilvl w:val="1"/>
          <w:numId w:val="1"/>
        </w:numPr>
        <w:spacing w:after="360"/>
        <w:ind w:hanging="357"/>
        <w:rPr>
          <w:rFonts w:ascii="Atkinson Hyperlegible" w:hAnsi="Atkinson Hyperlegible" w:cs="Arial"/>
        </w:rPr>
      </w:pPr>
      <w:r w:rsidRPr="009B2BC5">
        <w:rPr>
          <w:rFonts w:ascii="Atkinson Hyperlegible" w:hAnsi="Atkinson Hyperlegible" w:cs="Arial"/>
        </w:rPr>
        <w:t>Date of Whitley Approval:</w:t>
      </w:r>
      <w:r w:rsidR="002734BA" w:rsidRPr="009B2BC5">
        <w:rPr>
          <w:rFonts w:ascii="Atkinson Hyperlegible" w:hAnsi="Atkinson Hyperlegible" w:cs="Arial"/>
        </w:rPr>
        <w:t xml:space="preserve"> </w:t>
      </w:r>
      <w:r w:rsidR="00857B39">
        <w:rPr>
          <w:rFonts w:ascii="Atkinson Hyperlegible" w:hAnsi="Atkinson Hyperlegible" w:cs="Arial"/>
        </w:rPr>
        <w:t>not applicable</w:t>
      </w:r>
    </w:p>
    <w:p w14:paraId="2E77DC8A" w14:textId="46A1411E" w:rsidR="00323243" w:rsidRDefault="0067781E" w:rsidP="36C7B31F">
      <w:pPr>
        <w:pStyle w:val="ListParagraph"/>
        <w:numPr>
          <w:ilvl w:val="1"/>
          <w:numId w:val="1"/>
        </w:numPr>
        <w:spacing w:after="360"/>
        <w:ind w:hanging="357"/>
        <w:rPr>
          <w:rFonts w:ascii="Atkinson Hyperlegible" w:hAnsi="Atkinson Hyperlegible" w:cs="Arial"/>
        </w:rPr>
      </w:pPr>
      <w:r w:rsidRPr="009B2BC5">
        <w:rPr>
          <w:rFonts w:ascii="Atkinson Hyperlegible" w:hAnsi="Atkinson Hyperlegible" w:cs="Arial"/>
        </w:rPr>
        <w:t>Date</w:t>
      </w:r>
      <w:r w:rsidR="00F713FD" w:rsidRPr="009B2BC5">
        <w:rPr>
          <w:rFonts w:ascii="Atkinson Hyperlegible" w:hAnsi="Atkinson Hyperlegible" w:cs="Arial"/>
        </w:rPr>
        <w:t xml:space="preserve"> of Audit Committee Approval: </w:t>
      </w:r>
      <w:r w:rsidR="008A1C30">
        <w:rPr>
          <w:rFonts w:ascii="Atkinson Hyperlegible" w:hAnsi="Atkinson Hyperlegible" w:cs="Arial"/>
        </w:rPr>
        <w:t xml:space="preserve">not applicable. </w:t>
      </w:r>
    </w:p>
    <w:p w14:paraId="2026FE69" w14:textId="7FF38097" w:rsidR="0095325D" w:rsidRPr="009B2BC5" w:rsidRDefault="0095325D" w:rsidP="36C7B31F">
      <w:pPr>
        <w:pStyle w:val="ListParagraph"/>
        <w:numPr>
          <w:ilvl w:val="1"/>
          <w:numId w:val="1"/>
        </w:numPr>
        <w:spacing w:after="360"/>
        <w:ind w:hanging="357"/>
        <w:rPr>
          <w:rFonts w:ascii="Atkinson Hyperlegible" w:hAnsi="Atkinson Hyperlegible" w:cs="Arial"/>
        </w:rPr>
      </w:pPr>
      <w:r>
        <w:rPr>
          <w:rFonts w:ascii="Atkinson Hyperlegible" w:hAnsi="Atkinson Hyperlegible" w:cs="Arial"/>
        </w:rPr>
        <w:t xml:space="preserve">Date of Physical Security Steering Group Approval: </w:t>
      </w:r>
      <w:r w:rsidR="003B732E">
        <w:rPr>
          <w:rFonts w:ascii="Atkinson Hyperlegible" w:hAnsi="Atkinson Hyperlegible" w:cs="Arial"/>
        </w:rPr>
        <w:t>5 February 2025</w:t>
      </w:r>
    </w:p>
    <w:p w14:paraId="47BCE033" w14:textId="4ECD8F82" w:rsidR="00995125" w:rsidRPr="009B2BC5" w:rsidRDefault="00995125" w:rsidP="05A03523">
      <w:pPr>
        <w:pStyle w:val="ListParagraph"/>
        <w:spacing w:after="360"/>
        <w:ind w:hanging="357"/>
        <w:rPr>
          <w:rFonts w:ascii="Atkinson Hyperlegible" w:hAnsi="Atkinson Hyperlegible" w:cs="Arial"/>
        </w:rPr>
      </w:pPr>
      <w:r w:rsidRPr="00FD5360">
        <w:rPr>
          <w:rFonts w:ascii="Atkinson Hyperlegible" w:hAnsi="Atkinson Hyperlegible" w:cs="Arial"/>
        </w:rPr>
        <w:t>E</w:t>
      </w:r>
      <w:r w:rsidR="00757617" w:rsidRPr="00FD5360">
        <w:rPr>
          <w:rFonts w:ascii="Atkinson Hyperlegible" w:hAnsi="Atkinson Hyperlegible" w:cs="Arial"/>
        </w:rPr>
        <w:t xml:space="preserve">quality </w:t>
      </w:r>
      <w:r w:rsidRPr="00FD5360">
        <w:rPr>
          <w:rFonts w:ascii="Atkinson Hyperlegible" w:hAnsi="Atkinson Hyperlegible" w:cs="Arial"/>
        </w:rPr>
        <w:t>I</w:t>
      </w:r>
      <w:r w:rsidR="00757617" w:rsidRPr="00FD5360">
        <w:rPr>
          <w:rFonts w:ascii="Atkinson Hyperlegible" w:hAnsi="Atkinson Hyperlegible" w:cs="Arial"/>
        </w:rPr>
        <w:t xml:space="preserve">mpact </w:t>
      </w:r>
      <w:r w:rsidRPr="00FD5360">
        <w:rPr>
          <w:rFonts w:ascii="Atkinson Hyperlegible" w:hAnsi="Atkinson Hyperlegible" w:cs="Arial"/>
        </w:rPr>
        <w:t>A</w:t>
      </w:r>
      <w:r w:rsidR="00757617" w:rsidRPr="00FD5360">
        <w:rPr>
          <w:rFonts w:ascii="Atkinson Hyperlegible" w:hAnsi="Atkinson Hyperlegible" w:cs="Arial"/>
        </w:rPr>
        <w:t>ssessment</w:t>
      </w:r>
      <w:r w:rsidRPr="00FD5360">
        <w:rPr>
          <w:rFonts w:ascii="Atkinson Hyperlegible" w:hAnsi="Atkinson Hyperlegible" w:cs="Arial"/>
        </w:rPr>
        <w:t xml:space="preserve"> </w:t>
      </w:r>
      <w:r w:rsidR="00316EEE" w:rsidRPr="00FD5360">
        <w:rPr>
          <w:rFonts w:ascii="Atkinson Hyperlegible" w:hAnsi="Atkinson Hyperlegible" w:cs="Arial"/>
        </w:rPr>
        <w:t>C</w:t>
      </w:r>
      <w:r w:rsidRPr="00FD5360">
        <w:rPr>
          <w:rFonts w:ascii="Atkinson Hyperlegible" w:hAnsi="Atkinson Hyperlegible" w:cs="Arial"/>
        </w:rPr>
        <w:t xml:space="preserve">ompleted: </w:t>
      </w:r>
      <w:r w:rsidR="1DE144F5" w:rsidRPr="00FD5360">
        <w:rPr>
          <w:rFonts w:ascii="Atkinson Hyperlegible" w:hAnsi="Atkinson Hyperlegible" w:cs="Arial"/>
        </w:rPr>
        <w:t>sent to ER group 18 March 2025</w:t>
      </w:r>
      <w:r w:rsidR="28DE9D40" w:rsidRPr="21A21282">
        <w:rPr>
          <w:rFonts w:ascii="Atkinson Hyperlegible" w:hAnsi="Atkinson Hyperlegible" w:cs="Arial"/>
        </w:rPr>
        <w:t xml:space="preserve"> </w:t>
      </w:r>
    </w:p>
    <w:p w14:paraId="4C2DE54D" w14:textId="71C671AC" w:rsidR="008333F3" w:rsidRPr="009B2BC5" w:rsidRDefault="008333F3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ascii="Atkinson Hyperlegible" w:hAnsi="Atkinson Hyperlegible" w:cs="Arial"/>
        </w:rPr>
      </w:pPr>
      <w:r w:rsidRPr="009B2BC5">
        <w:rPr>
          <w:rFonts w:ascii="Atkinson Hyperlegible" w:hAnsi="Atkinson Hyperlegible" w:cs="Arial"/>
        </w:rPr>
        <w:t xml:space="preserve">Date of </w:t>
      </w:r>
      <w:r w:rsidR="00E11BBB" w:rsidRPr="009B2BC5">
        <w:rPr>
          <w:rFonts w:ascii="Atkinson Hyperlegible" w:hAnsi="Atkinson Hyperlegible" w:cs="Arial"/>
        </w:rPr>
        <w:t>n</w:t>
      </w:r>
      <w:r w:rsidRPr="009B2BC5">
        <w:rPr>
          <w:rFonts w:ascii="Atkinson Hyperlegible" w:hAnsi="Atkinson Hyperlegible" w:cs="Arial"/>
        </w:rPr>
        <w:t xml:space="preserve">ext </w:t>
      </w:r>
      <w:r w:rsidR="00E11BBB" w:rsidRPr="009B2BC5">
        <w:rPr>
          <w:rFonts w:ascii="Atkinson Hyperlegible" w:hAnsi="Atkinson Hyperlegible" w:cs="Arial"/>
        </w:rPr>
        <w:t>r</w:t>
      </w:r>
      <w:r w:rsidRPr="009B2BC5">
        <w:rPr>
          <w:rFonts w:ascii="Atkinson Hyperlegible" w:hAnsi="Atkinson Hyperlegible" w:cs="Arial"/>
        </w:rPr>
        <w:t xml:space="preserve">eview: </w:t>
      </w:r>
      <w:r w:rsidR="006E0762">
        <w:rPr>
          <w:rFonts w:ascii="Atkinson Hyperlegible" w:hAnsi="Atkinson Hyperlegible" w:cs="Arial"/>
        </w:rPr>
        <w:t>April 2026</w:t>
      </w:r>
    </w:p>
    <w:p w14:paraId="4B8D3806" w14:textId="535C2E6D" w:rsidR="00E63C07" w:rsidRPr="002C284A" w:rsidRDefault="00E63C07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ascii="Atkinson Hyperlegible" w:eastAsiaTheme="minorEastAsia" w:hAnsi="Atkinson Hyperlegible" w:cs="Arial"/>
        </w:rPr>
      </w:pPr>
      <w:r w:rsidRPr="002C284A">
        <w:rPr>
          <w:rFonts w:ascii="Atkinson Hyperlegible" w:hAnsi="Atkinson Hyperlegible" w:cs="Arial"/>
        </w:rPr>
        <w:t>Business classification:</w:t>
      </w:r>
      <w:r w:rsidR="002C284A">
        <w:rPr>
          <w:rFonts w:ascii="Atkinson Hyperlegible" w:hAnsi="Atkinson Hyperlegible" w:cs="Arial"/>
        </w:rPr>
        <w:t xml:space="preserve"> 05.01.</w:t>
      </w:r>
      <w:r w:rsidR="0095325D">
        <w:rPr>
          <w:rFonts w:ascii="Atkinson Hyperlegible" w:hAnsi="Atkinson Hyperlegible" w:cs="Arial"/>
        </w:rPr>
        <w:t>05.00</w:t>
      </w:r>
    </w:p>
    <w:p w14:paraId="2C70089F" w14:textId="212B126F" w:rsidR="00BF6BEC" w:rsidRPr="009B2BC5" w:rsidRDefault="00E63C07" w:rsidP="21A21282">
      <w:pPr>
        <w:pStyle w:val="ListParagraph"/>
        <w:spacing w:after="360"/>
        <w:ind w:hanging="357"/>
        <w:rPr>
          <w:rFonts w:ascii="Atkinson Hyperlegible" w:hAnsi="Atkinson Hyperlegible" w:cs="Arial"/>
        </w:rPr>
      </w:pPr>
      <w:r w:rsidRPr="21A21282">
        <w:rPr>
          <w:rFonts w:ascii="Atkinson Hyperlegible" w:hAnsi="Atkinson Hyperlegible" w:cs="Arial"/>
        </w:rPr>
        <w:t>Retention:</w:t>
      </w:r>
      <w:r w:rsidR="00870C77" w:rsidRPr="21A21282">
        <w:rPr>
          <w:rFonts w:ascii="Atkinson Hyperlegible" w:hAnsi="Atkinson Hyperlegible" w:cs="Arial"/>
        </w:rPr>
        <w:t xml:space="preserve"> review for historical and business value one year after approved policy has been superseded.</w:t>
      </w:r>
    </w:p>
    <w:p w14:paraId="34174587" w14:textId="2951BECD" w:rsidR="3CF50C4B" w:rsidRDefault="3CF50C4B" w:rsidP="00716DC7">
      <w:pPr>
        <w:pStyle w:val="ListParagraph"/>
        <w:spacing w:after="360"/>
        <w:ind w:hanging="357"/>
        <w:rPr>
          <w:rFonts w:ascii="Atkinson Hyperlegible" w:eastAsia="Atkinson Hyperlegible" w:hAnsi="Atkinson Hyperlegible" w:cs="Atkinson Hyperlegible"/>
        </w:rPr>
      </w:pPr>
      <w:r w:rsidRPr="00716DC7">
        <w:rPr>
          <w:rFonts w:ascii="Atkinson Hyperlegible" w:eastAsia="Atkinson Hyperlegible" w:hAnsi="Atkinson Hyperlegible" w:cs="Atkinson Hyperlegible"/>
          <w:color w:val="000000" w:themeColor="text1"/>
        </w:rPr>
        <w:t>There is also a risk assessment</w:t>
      </w:r>
      <w:r w:rsidR="00487300">
        <w:rPr>
          <w:rFonts w:ascii="Atkinson Hyperlegible" w:eastAsia="Atkinson Hyperlegible" w:hAnsi="Atkinson Hyperlegible" w:cs="Atkinson Hyperlegible"/>
          <w:color w:val="000000" w:themeColor="text1"/>
        </w:rPr>
        <w:t xml:space="preserve"> document</w:t>
      </w:r>
      <w:r w:rsidRPr="00716DC7">
        <w:rPr>
          <w:rFonts w:ascii="Atkinson Hyperlegible" w:eastAsia="Atkinson Hyperlegible" w:hAnsi="Atkinson Hyperlegible" w:cs="Atkinson Hyperlegible"/>
          <w:color w:val="000000" w:themeColor="text1"/>
        </w:rPr>
        <w:t xml:space="preserve"> and a</w:t>
      </w:r>
      <w:r w:rsidR="00487300">
        <w:rPr>
          <w:rFonts w:ascii="Atkinson Hyperlegible" w:eastAsia="Atkinson Hyperlegible" w:hAnsi="Atkinson Hyperlegible" w:cs="Atkinson Hyperlegible"/>
          <w:color w:val="000000" w:themeColor="text1"/>
        </w:rPr>
        <w:t>n</w:t>
      </w:r>
      <w:r w:rsidRPr="00716DC7">
        <w:rPr>
          <w:rFonts w:ascii="Atkinson Hyperlegible" w:eastAsia="Atkinson Hyperlegible" w:hAnsi="Atkinson Hyperlegible" w:cs="Atkinson Hyperlegible"/>
          <w:color w:val="000000" w:themeColor="text1"/>
        </w:rPr>
        <w:t xml:space="preserve"> FAQ </w:t>
      </w:r>
      <w:r w:rsidR="00C90609">
        <w:rPr>
          <w:rFonts w:ascii="Atkinson Hyperlegible" w:eastAsia="Atkinson Hyperlegible" w:hAnsi="Atkinson Hyperlegible" w:cs="Atkinson Hyperlegible"/>
          <w:color w:val="000000" w:themeColor="text1"/>
        </w:rPr>
        <w:t xml:space="preserve">document </w:t>
      </w:r>
      <w:r w:rsidRPr="00716DC7">
        <w:rPr>
          <w:rFonts w:ascii="Atkinson Hyperlegible" w:eastAsia="Atkinson Hyperlegible" w:hAnsi="Atkinson Hyperlegible" w:cs="Atkinson Hyperlegible"/>
          <w:color w:val="000000" w:themeColor="text1"/>
        </w:rPr>
        <w:t>for staff (which is still being developed based on feedback)</w:t>
      </w:r>
      <w:r w:rsidR="00C90609">
        <w:rPr>
          <w:rFonts w:ascii="Atkinson Hyperlegible" w:eastAsia="Atkinson Hyperlegible" w:hAnsi="Atkinson Hyperlegible" w:cs="Atkinson Hyperlegible"/>
        </w:rPr>
        <w:t>.</w:t>
      </w:r>
    </w:p>
    <w:p w14:paraId="20D382EB" w14:textId="48243D78" w:rsidR="21A21282" w:rsidRDefault="21A21282" w:rsidP="21A21282">
      <w:pPr>
        <w:pStyle w:val="ListParagraph"/>
        <w:numPr>
          <w:ilvl w:val="0"/>
          <w:numId w:val="0"/>
        </w:numPr>
        <w:spacing w:after="360"/>
        <w:ind w:left="720"/>
        <w:rPr>
          <w:szCs w:val="24"/>
        </w:rPr>
      </w:pPr>
    </w:p>
    <w:p w14:paraId="3E7068A1" w14:textId="751FD78A" w:rsidR="000B3666" w:rsidRPr="009B2BC5" w:rsidRDefault="00995125" w:rsidP="36C7B31F">
      <w:pPr>
        <w:pStyle w:val="Heading2"/>
        <w:numPr>
          <w:ilvl w:val="0"/>
          <w:numId w:val="0"/>
        </w:numPr>
        <w:spacing w:before="0" w:after="360"/>
        <w:rPr>
          <w:rFonts w:ascii="Atkinson Hyperlegible" w:hAnsi="Atkinson Hyperlegible"/>
        </w:rPr>
      </w:pPr>
      <w:bookmarkStart w:id="28" w:name="_Toc1000603206"/>
      <w:bookmarkStart w:id="29" w:name="_Toc548997067"/>
      <w:bookmarkStart w:id="30" w:name="_Toc110486772"/>
      <w:bookmarkStart w:id="31" w:name="_Toc191730309"/>
      <w:r w:rsidRPr="009B2BC5">
        <w:rPr>
          <w:rFonts w:ascii="Atkinson Hyperlegible" w:hAnsi="Atkinson Hyperlegible"/>
        </w:rPr>
        <w:t xml:space="preserve">Document </w:t>
      </w:r>
      <w:r w:rsidR="00095C46" w:rsidRPr="009B2BC5">
        <w:rPr>
          <w:rFonts w:ascii="Atkinson Hyperlegible" w:hAnsi="Atkinson Hyperlegible"/>
        </w:rPr>
        <w:t>c</w:t>
      </w:r>
      <w:r w:rsidRPr="009B2BC5">
        <w:rPr>
          <w:rFonts w:ascii="Atkinson Hyperlegible" w:hAnsi="Atkinson Hyperlegible"/>
        </w:rPr>
        <w:t>ontrol</w:t>
      </w:r>
      <w:bookmarkEnd w:id="28"/>
      <w:bookmarkEnd w:id="29"/>
      <w:bookmarkEnd w:id="30"/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control table"/>
        <w:tblDescription w:val="A table listing actions which happen on particular dates. in chronological order."/>
      </w:tblPr>
      <w:tblGrid>
        <w:gridCol w:w="4508"/>
        <w:gridCol w:w="4508"/>
      </w:tblGrid>
      <w:tr w:rsidR="00600A18" w:rsidRPr="009B2BC5" w14:paraId="7A0F981B" w14:textId="77777777" w:rsidTr="00DF1091">
        <w:trPr>
          <w:tblHeader/>
        </w:trPr>
        <w:tc>
          <w:tcPr>
            <w:tcW w:w="4508" w:type="dxa"/>
            <w:shd w:val="clear" w:color="auto" w:fill="auto"/>
          </w:tcPr>
          <w:p w14:paraId="1214F8C6" w14:textId="2AB4FD31" w:rsidR="00600A18" w:rsidRPr="006366FC" w:rsidRDefault="00600A18" w:rsidP="36C7B31F">
            <w:pPr>
              <w:spacing w:after="360"/>
              <w:rPr>
                <w:rFonts w:ascii="Atkinson Hyperlegible" w:hAnsi="Atkinson Hyperlegible" w:cs="Arial"/>
                <w:highlight w:val="yellow"/>
              </w:rPr>
            </w:pPr>
            <w:r w:rsidRPr="00BD5113">
              <w:rPr>
                <w:rFonts w:ascii="Atkinson Hyperlegible" w:hAnsi="Atkinson Hyperlegible" w:cs="Arial"/>
              </w:rPr>
              <w:t>Date</w:t>
            </w:r>
          </w:p>
        </w:tc>
        <w:tc>
          <w:tcPr>
            <w:tcW w:w="4508" w:type="dxa"/>
          </w:tcPr>
          <w:p w14:paraId="49987D66" w14:textId="316F19CB" w:rsidR="00600A18" w:rsidRPr="006366FC" w:rsidRDefault="00600A18" w:rsidP="36C7B31F">
            <w:pPr>
              <w:spacing w:after="360"/>
              <w:rPr>
                <w:rFonts w:ascii="Atkinson Hyperlegible" w:hAnsi="Atkinson Hyperlegible" w:cs="Arial"/>
                <w:highlight w:val="yellow"/>
              </w:rPr>
            </w:pPr>
            <w:r w:rsidRPr="00BD5113">
              <w:rPr>
                <w:rFonts w:ascii="Atkinson Hyperlegible" w:hAnsi="Atkinson Hyperlegible" w:cs="Arial"/>
              </w:rPr>
              <w:t>Action</w:t>
            </w:r>
          </w:p>
        </w:tc>
      </w:tr>
      <w:tr w:rsidR="00600A18" w:rsidRPr="009B2BC5" w14:paraId="011ED000" w14:textId="77777777" w:rsidTr="00DF1091">
        <w:tc>
          <w:tcPr>
            <w:tcW w:w="4508" w:type="dxa"/>
          </w:tcPr>
          <w:p w14:paraId="434B2CC9" w14:textId="3E7E3661" w:rsidR="00600A18" w:rsidRPr="009B2BC5" w:rsidRDefault="002E27AA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 xml:space="preserve">2024 01 24 </w:t>
            </w:r>
          </w:p>
        </w:tc>
        <w:tc>
          <w:tcPr>
            <w:tcW w:w="4508" w:type="dxa"/>
          </w:tcPr>
          <w:p w14:paraId="3601E0EE" w14:textId="2CF45B35" w:rsidR="00600A18" w:rsidRPr="009B2BC5" w:rsidRDefault="002E27AA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 xml:space="preserve">Head of Reader Services arranged stakeholder meeting to discuss </w:t>
            </w:r>
            <w:r w:rsidR="00CB1E9C">
              <w:rPr>
                <w:rFonts w:ascii="Atkinson Hyperlegible" w:hAnsi="Atkinson Hyperlegible" w:cs="Arial"/>
              </w:rPr>
              <w:t>potential policy.</w:t>
            </w:r>
          </w:p>
        </w:tc>
      </w:tr>
      <w:tr w:rsidR="00CB1E9C" w:rsidRPr="009B2BC5" w14:paraId="55820F85" w14:textId="77777777" w:rsidTr="00DF1091">
        <w:tc>
          <w:tcPr>
            <w:tcW w:w="4508" w:type="dxa"/>
          </w:tcPr>
          <w:p w14:paraId="4334C09D" w14:textId="08AF0D69" w:rsidR="00CB1E9C" w:rsidRDefault="00CB1E9C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 xml:space="preserve">2024 11 </w:t>
            </w:r>
            <w:r w:rsidR="00BD5113">
              <w:rPr>
                <w:rFonts w:ascii="Atkinson Hyperlegible" w:hAnsi="Atkinson Hyperlegible" w:cs="Arial"/>
              </w:rPr>
              <w:t>24</w:t>
            </w:r>
          </w:p>
        </w:tc>
        <w:tc>
          <w:tcPr>
            <w:tcW w:w="4508" w:type="dxa"/>
          </w:tcPr>
          <w:p w14:paraId="59CE2C30" w14:textId="5BCEA02F" w:rsidR="00CB1E9C" w:rsidRDefault="00BD5113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 xml:space="preserve">Initial guidance document outlining policy written by Special Collections </w:t>
            </w:r>
            <w:r>
              <w:rPr>
                <w:rFonts w:ascii="Atkinson Hyperlegible" w:hAnsi="Atkinson Hyperlegible" w:cs="Arial"/>
              </w:rPr>
              <w:lastRenderedPageBreak/>
              <w:t xml:space="preserve">Reading Room Manager and circulated to </w:t>
            </w:r>
            <w:r w:rsidR="00941EF8">
              <w:rPr>
                <w:rFonts w:ascii="Atkinson Hyperlegible" w:hAnsi="Atkinson Hyperlegible" w:cs="Arial"/>
              </w:rPr>
              <w:t>Reader Services managers</w:t>
            </w:r>
            <w:r>
              <w:rPr>
                <w:rFonts w:ascii="Atkinson Hyperlegible" w:hAnsi="Atkinson Hyperlegible" w:cs="Arial"/>
              </w:rPr>
              <w:t xml:space="preserve"> for comment.</w:t>
            </w:r>
          </w:p>
        </w:tc>
      </w:tr>
      <w:tr w:rsidR="00941EF8" w:rsidRPr="009B2BC5" w14:paraId="6EFF90E7" w14:textId="77777777" w:rsidTr="00DF1091">
        <w:tc>
          <w:tcPr>
            <w:tcW w:w="4508" w:type="dxa"/>
          </w:tcPr>
          <w:p w14:paraId="525C4E9F" w14:textId="41EC2A11" w:rsidR="00941EF8" w:rsidRDefault="00B52143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lastRenderedPageBreak/>
              <w:t>2024 01 24</w:t>
            </w:r>
          </w:p>
        </w:tc>
        <w:tc>
          <w:tcPr>
            <w:tcW w:w="4508" w:type="dxa"/>
          </w:tcPr>
          <w:p w14:paraId="3A411CED" w14:textId="71EA936F" w:rsidR="00941EF8" w:rsidRDefault="00B52143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>Gu</w:t>
            </w:r>
            <w:r w:rsidR="00E42D2B">
              <w:rPr>
                <w:rFonts w:ascii="Atkinson Hyperlegible" w:hAnsi="Atkinson Hyperlegible" w:cs="Arial"/>
              </w:rPr>
              <w:t xml:space="preserve">idance document and risk assessment circulated to wider stakeholder group for comment. </w:t>
            </w:r>
          </w:p>
        </w:tc>
      </w:tr>
      <w:tr w:rsidR="00BD5113" w:rsidRPr="009B2BC5" w14:paraId="65D41D5D" w14:textId="77777777" w:rsidTr="00DF1091">
        <w:tc>
          <w:tcPr>
            <w:tcW w:w="4508" w:type="dxa"/>
          </w:tcPr>
          <w:p w14:paraId="59A0F43A" w14:textId="34DCE70E" w:rsidR="00BD5113" w:rsidRDefault="00EB654C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>2025 02 05</w:t>
            </w:r>
          </w:p>
        </w:tc>
        <w:tc>
          <w:tcPr>
            <w:tcW w:w="4508" w:type="dxa"/>
          </w:tcPr>
          <w:p w14:paraId="0EC63B0D" w14:textId="4AAB90AD" w:rsidR="00BD5113" w:rsidRDefault="00EB654C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>Guidance document</w:t>
            </w:r>
            <w:r w:rsidR="005E0E88">
              <w:rPr>
                <w:rFonts w:ascii="Atkinson Hyperlegible" w:hAnsi="Atkinson Hyperlegible" w:cs="Arial"/>
              </w:rPr>
              <w:t xml:space="preserve"> and risk assessment discussed at Physical Security Steering Group. </w:t>
            </w:r>
            <w:r w:rsidR="00E54D1E">
              <w:rPr>
                <w:rFonts w:ascii="Atkinson Hyperlegible" w:hAnsi="Atkinson Hyperlegible" w:cs="Arial"/>
              </w:rPr>
              <w:t xml:space="preserve">Agreed as a policy </w:t>
            </w:r>
            <w:r w:rsidR="008D4476">
              <w:rPr>
                <w:rFonts w:ascii="Atkinson Hyperlegible" w:hAnsi="Atkinson Hyperlegible" w:cs="Arial"/>
              </w:rPr>
              <w:t xml:space="preserve">for the library. </w:t>
            </w:r>
          </w:p>
        </w:tc>
      </w:tr>
      <w:tr w:rsidR="008D4476" w:rsidRPr="009B2BC5" w14:paraId="7D5527D7" w14:textId="77777777" w:rsidTr="00DF1091">
        <w:tc>
          <w:tcPr>
            <w:tcW w:w="4508" w:type="dxa"/>
          </w:tcPr>
          <w:p w14:paraId="7756E1F1" w14:textId="45B73EEC" w:rsidR="008D4476" w:rsidRDefault="008D4476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>2025 03 01</w:t>
            </w:r>
          </w:p>
        </w:tc>
        <w:tc>
          <w:tcPr>
            <w:tcW w:w="4508" w:type="dxa"/>
          </w:tcPr>
          <w:p w14:paraId="5B26DF66" w14:textId="44D1EF5A" w:rsidR="008D4476" w:rsidRDefault="008A1C30" w:rsidP="36C7B31F">
            <w:pPr>
              <w:spacing w:after="360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>Special Collections Reading Room</w:t>
            </w:r>
            <w:r w:rsidRPr="008A1C30">
              <w:rPr>
                <w:rFonts w:ascii="Atkinson Hyperlegible" w:hAnsi="Atkinson Hyperlegible" w:cs="Arial"/>
              </w:rPr>
              <w:t xml:space="preserve"> Manager created this version as basis for the policy going forward, derived from previous</w:t>
            </w:r>
            <w:r>
              <w:rPr>
                <w:rFonts w:ascii="Atkinson Hyperlegible" w:hAnsi="Atkinson Hyperlegible" w:cs="Arial"/>
              </w:rPr>
              <w:t xml:space="preserve"> guidance document. </w:t>
            </w:r>
          </w:p>
        </w:tc>
      </w:tr>
    </w:tbl>
    <w:p w14:paraId="0233FC45" w14:textId="1F61A4A2" w:rsidR="002677EA" w:rsidRPr="009B2BC5" w:rsidRDefault="002677EA" w:rsidP="00135E76">
      <w:pPr>
        <w:spacing w:after="360"/>
        <w:rPr>
          <w:rFonts w:ascii="Atkinson Hyperlegible" w:hAnsi="Atkinson Hyperlegible" w:cs="Arial"/>
          <w:szCs w:val="24"/>
        </w:rPr>
      </w:pPr>
    </w:p>
    <w:sectPr w:rsidR="002677EA" w:rsidRPr="009B2BC5" w:rsidSect="009951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7279" w14:textId="77777777" w:rsidR="00422109" w:rsidRDefault="00422109" w:rsidP="00995125">
      <w:pPr>
        <w:spacing w:after="360" w:line="240" w:lineRule="auto"/>
      </w:pPr>
      <w:r>
        <w:separator/>
      </w:r>
    </w:p>
  </w:endnote>
  <w:endnote w:type="continuationSeparator" w:id="0">
    <w:p w14:paraId="37104059" w14:textId="77777777" w:rsidR="00422109" w:rsidRDefault="00422109" w:rsidP="00995125">
      <w:pPr>
        <w:spacing w:after="360" w:line="240" w:lineRule="auto"/>
      </w:pPr>
      <w:r>
        <w:continuationSeparator/>
      </w:r>
    </w:p>
  </w:endnote>
  <w:endnote w:type="continuationNotice" w:id="1">
    <w:p w14:paraId="51D0189F" w14:textId="77777777" w:rsidR="00422109" w:rsidRDefault="00422109">
      <w:pPr>
        <w:spacing w:after="36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tkinson Hyperlegible">
    <w:altName w:val="Calibri"/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BB6F" w14:textId="77777777" w:rsidR="00324073" w:rsidRDefault="00324073">
    <w:pPr>
      <w:pStyle w:val="Footer"/>
      <w:spacing w:after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50FF" w14:textId="551E7804" w:rsidR="00995125" w:rsidRPr="00A72B77" w:rsidRDefault="00995125" w:rsidP="00A72B77">
    <w:pPr>
      <w:pStyle w:val="Footer"/>
      <w:spacing w:after="360"/>
      <w:rPr>
        <w:rFonts w:cs="Arial"/>
        <w:b/>
        <w:bCs/>
        <w:szCs w:val="24"/>
      </w:rPr>
    </w:pPr>
  </w:p>
  <w:p w14:paraId="23FFF060" w14:textId="61BCDD3D" w:rsidR="00995125" w:rsidRPr="00995125" w:rsidRDefault="00995125" w:rsidP="00995125">
    <w:pPr>
      <w:pStyle w:val="Footer"/>
      <w:spacing w:after="360"/>
      <w:jc w:val="right"/>
      <w:rPr>
        <w:rFonts w:cs="Arial"/>
        <w:b/>
        <w:bCs/>
        <w:szCs w:val="24"/>
      </w:rPr>
    </w:pPr>
    <w:r w:rsidRPr="00995125">
      <w:rPr>
        <w:rFonts w:cs="Arial"/>
      </w:rPr>
      <w:t xml:space="preserve">Page </w:t>
    </w:r>
    <w:r w:rsidRPr="00995125">
      <w:rPr>
        <w:rFonts w:cs="Arial"/>
        <w:b/>
        <w:bCs/>
        <w:szCs w:val="24"/>
      </w:rPr>
      <w:fldChar w:fldCharType="begin"/>
    </w:r>
    <w:r w:rsidRPr="00995125">
      <w:rPr>
        <w:rFonts w:cs="Arial"/>
        <w:b/>
        <w:bCs/>
      </w:rPr>
      <w:instrText xml:space="preserve"> PAGE </w:instrText>
    </w:r>
    <w:r w:rsidRPr="00995125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4</w:t>
    </w:r>
    <w:r w:rsidRPr="00995125">
      <w:rPr>
        <w:rFonts w:cs="Arial"/>
        <w:b/>
        <w:bCs/>
        <w:szCs w:val="24"/>
      </w:rPr>
      <w:fldChar w:fldCharType="end"/>
    </w:r>
    <w:r w:rsidRPr="00995125">
      <w:rPr>
        <w:rFonts w:cs="Arial"/>
      </w:rPr>
      <w:t xml:space="preserve"> of </w:t>
    </w:r>
    <w:r w:rsidRPr="00995125">
      <w:rPr>
        <w:rFonts w:cs="Arial"/>
        <w:b/>
        <w:bCs/>
        <w:szCs w:val="24"/>
      </w:rPr>
      <w:fldChar w:fldCharType="begin"/>
    </w:r>
    <w:r w:rsidRPr="00995125">
      <w:rPr>
        <w:rFonts w:cs="Arial"/>
        <w:b/>
        <w:bCs/>
      </w:rPr>
      <w:instrText xml:space="preserve"> NUMPAGES  </w:instrText>
    </w:r>
    <w:r w:rsidRPr="00995125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4</w:t>
    </w:r>
    <w:r w:rsidRPr="00995125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D0A5F" w14:textId="77777777" w:rsidR="00324073" w:rsidRDefault="00324073">
    <w:pPr>
      <w:pStyle w:val="Footer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A685" w14:textId="77777777" w:rsidR="00422109" w:rsidRDefault="00422109" w:rsidP="00995125">
      <w:pPr>
        <w:spacing w:after="360" w:line="240" w:lineRule="auto"/>
      </w:pPr>
      <w:r>
        <w:separator/>
      </w:r>
    </w:p>
  </w:footnote>
  <w:footnote w:type="continuationSeparator" w:id="0">
    <w:p w14:paraId="609C37CA" w14:textId="77777777" w:rsidR="00422109" w:rsidRDefault="00422109" w:rsidP="00995125">
      <w:pPr>
        <w:spacing w:after="360" w:line="240" w:lineRule="auto"/>
      </w:pPr>
      <w:r>
        <w:continuationSeparator/>
      </w:r>
    </w:p>
  </w:footnote>
  <w:footnote w:type="continuationNotice" w:id="1">
    <w:p w14:paraId="194286E1" w14:textId="77777777" w:rsidR="00422109" w:rsidRDefault="00422109">
      <w:pPr>
        <w:spacing w:after="36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5A79" w14:textId="77777777" w:rsidR="00324073" w:rsidRDefault="00324073">
    <w:pPr>
      <w:pStyle w:val="Header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7437" w14:textId="54147993" w:rsidR="00D1258B" w:rsidRDefault="00D1258B">
    <w:pPr>
      <w:pStyle w:val="Header"/>
      <w:spacing w:after="360"/>
      <w:rPr>
        <w:rFonts w:eastAsia="Calibri" w:cs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F8E1" w14:textId="77777777" w:rsidR="00324073" w:rsidRDefault="00324073">
    <w:pPr>
      <w:pStyle w:val="Header"/>
      <w:spacing w:after="36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CO8OZiZ9Vd7Tp" id="aOSCJ7kG"/>
  </int:Manifest>
  <int:Observations>
    <int:Content id="aOSCJ7k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50E"/>
    <w:multiLevelType w:val="multilevel"/>
    <w:tmpl w:val="4E3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832C1"/>
    <w:multiLevelType w:val="multilevel"/>
    <w:tmpl w:val="9892B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252CD7"/>
    <w:multiLevelType w:val="hybridMultilevel"/>
    <w:tmpl w:val="BB6EE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53DC"/>
    <w:multiLevelType w:val="hybridMultilevel"/>
    <w:tmpl w:val="9C40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4DC"/>
    <w:multiLevelType w:val="hybridMultilevel"/>
    <w:tmpl w:val="7C48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0C5"/>
    <w:multiLevelType w:val="hybridMultilevel"/>
    <w:tmpl w:val="72545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C1517"/>
    <w:multiLevelType w:val="multilevel"/>
    <w:tmpl w:val="B31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110318"/>
    <w:multiLevelType w:val="multilevel"/>
    <w:tmpl w:val="9EF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96BB0"/>
    <w:multiLevelType w:val="multilevel"/>
    <w:tmpl w:val="1E6C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6B02A6"/>
    <w:multiLevelType w:val="multilevel"/>
    <w:tmpl w:val="EFDEB1A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ajorBidi" w:hint="default"/>
      </w:rPr>
    </w:lvl>
  </w:abstractNum>
  <w:abstractNum w:abstractNumId="10" w15:restartNumberingAfterBreak="0">
    <w:nsid w:val="3D8F4D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1F7238"/>
    <w:multiLevelType w:val="multilevel"/>
    <w:tmpl w:val="7430C78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ascii="Arial" w:hAnsi="Arial" w:hint="default"/>
        <w:sz w:val="48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41646B6E"/>
    <w:multiLevelType w:val="hybridMultilevel"/>
    <w:tmpl w:val="3B767C48"/>
    <w:lvl w:ilvl="0" w:tplc="723A859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05E53"/>
    <w:multiLevelType w:val="multilevel"/>
    <w:tmpl w:val="A77A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846021"/>
    <w:multiLevelType w:val="multilevel"/>
    <w:tmpl w:val="121E56CE"/>
    <w:styleLink w:val="Headings"/>
    <w:lvl w:ilvl="0">
      <w:start w:val="1"/>
      <w:numFmt w:val="decimal"/>
      <w:pStyle w:val="Heading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97C4DD8"/>
    <w:multiLevelType w:val="multilevel"/>
    <w:tmpl w:val="301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26260E"/>
    <w:multiLevelType w:val="multilevel"/>
    <w:tmpl w:val="2CF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5740DD"/>
    <w:multiLevelType w:val="hybridMultilevel"/>
    <w:tmpl w:val="34F2B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12C1"/>
    <w:multiLevelType w:val="hybridMultilevel"/>
    <w:tmpl w:val="5C3C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45895"/>
    <w:multiLevelType w:val="hybridMultilevel"/>
    <w:tmpl w:val="0C1E5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F009B"/>
    <w:multiLevelType w:val="hybridMultilevel"/>
    <w:tmpl w:val="C7580364"/>
    <w:lvl w:ilvl="0" w:tplc="E93AFD36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7C5DDA"/>
    <w:multiLevelType w:val="hybridMultilevel"/>
    <w:tmpl w:val="BEFEB16E"/>
    <w:lvl w:ilvl="0" w:tplc="19FAD2D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2F8F"/>
    <w:multiLevelType w:val="hybridMultilevel"/>
    <w:tmpl w:val="40AC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90908"/>
    <w:multiLevelType w:val="hybridMultilevel"/>
    <w:tmpl w:val="5686D3D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E5D1391"/>
    <w:multiLevelType w:val="multilevel"/>
    <w:tmpl w:val="A5E8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9608F7"/>
    <w:multiLevelType w:val="multilevel"/>
    <w:tmpl w:val="443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4247619">
    <w:abstractNumId w:val="4"/>
  </w:num>
  <w:num w:numId="2" w16cid:durableId="956595059">
    <w:abstractNumId w:val="3"/>
  </w:num>
  <w:num w:numId="3" w16cid:durableId="1300526467">
    <w:abstractNumId w:val="17"/>
  </w:num>
  <w:num w:numId="4" w16cid:durableId="1757970198">
    <w:abstractNumId w:val="21"/>
  </w:num>
  <w:num w:numId="5" w16cid:durableId="1297486821">
    <w:abstractNumId w:val="9"/>
  </w:num>
  <w:num w:numId="6" w16cid:durableId="1866482495">
    <w:abstractNumId w:val="12"/>
  </w:num>
  <w:num w:numId="7" w16cid:durableId="197399505">
    <w:abstractNumId w:val="1"/>
  </w:num>
  <w:num w:numId="8" w16cid:durableId="1772243417">
    <w:abstractNumId w:val="18"/>
  </w:num>
  <w:num w:numId="9" w16cid:durableId="1058241396">
    <w:abstractNumId w:val="8"/>
  </w:num>
  <w:num w:numId="10" w16cid:durableId="1978290763">
    <w:abstractNumId w:val="11"/>
  </w:num>
  <w:num w:numId="11" w16cid:durableId="1044063571">
    <w:abstractNumId w:val="2"/>
  </w:num>
  <w:num w:numId="12" w16cid:durableId="259988657">
    <w:abstractNumId w:val="10"/>
  </w:num>
  <w:num w:numId="13" w16cid:durableId="1863588581">
    <w:abstractNumId w:val="14"/>
  </w:num>
  <w:num w:numId="14" w16cid:durableId="1786122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934498">
    <w:abstractNumId w:val="20"/>
  </w:num>
  <w:num w:numId="16" w16cid:durableId="73284924">
    <w:abstractNumId w:val="22"/>
  </w:num>
  <w:num w:numId="17" w16cid:durableId="1991517115">
    <w:abstractNumId w:val="23"/>
  </w:num>
  <w:num w:numId="18" w16cid:durableId="1565875285">
    <w:abstractNumId w:val="19"/>
  </w:num>
  <w:num w:numId="19" w16cid:durableId="1511524168">
    <w:abstractNumId w:val="5"/>
  </w:num>
  <w:num w:numId="20" w16cid:durableId="992106973">
    <w:abstractNumId w:val="25"/>
  </w:num>
  <w:num w:numId="21" w16cid:durableId="373891132">
    <w:abstractNumId w:val="15"/>
  </w:num>
  <w:num w:numId="22" w16cid:durableId="2101172091">
    <w:abstractNumId w:val="16"/>
  </w:num>
  <w:num w:numId="23" w16cid:durableId="1338531755">
    <w:abstractNumId w:val="13"/>
  </w:num>
  <w:num w:numId="24" w16cid:durableId="666324600">
    <w:abstractNumId w:val="24"/>
  </w:num>
  <w:num w:numId="25" w16cid:durableId="950820770">
    <w:abstractNumId w:val="6"/>
  </w:num>
  <w:num w:numId="26" w16cid:durableId="1061518425">
    <w:abstractNumId w:val="0"/>
  </w:num>
  <w:num w:numId="27" w16cid:durableId="1465853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5"/>
    <w:rsid w:val="00002931"/>
    <w:rsid w:val="00002B8C"/>
    <w:rsid w:val="00007E7B"/>
    <w:rsid w:val="00011137"/>
    <w:rsid w:val="000138B4"/>
    <w:rsid w:val="000145B6"/>
    <w:rsid w:val="0001600E"/>
    <w:rsid w:val="00016C83"/>
    <w:rsid w:val="00024B34"/>
    <w:rsid w:val="000366A1"/>
    <w:rsid w:val="000465C7"/>
    <w:rsid w:val="000520AB"/>
    <w:rsid w:val="00061B5E"/>
    <w:rsid w:val="00072074"/>
    <w:rsid w:val="00075329"/>
    <w:rsid w:val="000779D2"/>
    <w:rsid w:val="00083BFC"/>
    <w:rsid w:val="000933BA"/>
    <w:rsid w:val="00095949"/>
    <w:rsid w:val="00095C46"/>
    <w:rsid w:val="000968F8"/>
    <w:rsid w:val="00097E5F"/>
    <w:rsid w:val="000A58DA"/>
    <w:rsid w:val="000A5979"/>
    <w:rsid w:val="000A6092"/>
    <w:rsid w:val="000A750A"/>
    <w:rsid w:val="000B070E"/>
    <w:rsid w:val="000B1532"/>
    <w:rsid w:val="000B3666"/>
    <w:rsid w:val="000B7ADD"/>
    <w:rsid w:val="000C5942"/>
    <w:rsid w:val="000C5D1B"/>
    <w:rsid w:val="000C6071"/>
    <w:rsid w:val="000D1650"/>
    <w:rsid w:val="000D5F8C"/>
    <w:rsid w:val="000E3D36"/>
    <w:rsid w:val="001078F5"/>
    <w:rsid w:val="00113565"/>
    <w:rsid w:val="00117274"/>
    <w:rsid w:val="0012231A"/>
    <w:rsid w:val="0012644B"/>
    <w:rsid w:val="00130155"/>
    <w:rsid w:val="00135E76"/>
    <w:rsid w:val="00142BCF"/>
    <w:rsid w:val="00154930"/>
    <w:rsid w:val="0015796B"/>
    <w:rsid w:val="0016348C"/>
    <w:rsid w:val="00167A87"/>
    <w:rsid w:val="00191F49"/>
    <w:rsid w:val="00192226"/>
    <w:rsid w:val="00196FCD"/>
    <w:rsid w:val="00197D6A"/>
    <w:rsid w:val="001A0835"/>
    <w:rsid w:val="001A15C0"/>
    <w:rsid w:val="001A5787"/>
    <w:rsid w:val="001C357C"/>
    <w:rsid w:val="001D3E6D"/>
    <w:rsid w:val="001E24B2"/>
    <w:rsid w:val="001E262B"/>
    <w:rsid w:val="001E3792"/>
    <w:rsid w:val="001F4C1D"/>
    <w:rsid w:val="002020C6"/>
    <w:rsid w:val="0020697F"/>
    <w:rsid w:val="00220C0C"/>
    <w:rsid w:val="00220E80"/>
    <w:rsid w:val="00220FED"/>
    <w:rsid w:val="00225ACE"/>
    <w:rsid w:val="00226B1B"/>
    <w:rsid w:val="00233467"/>
    <w:rsid w:val="00244F1D"/>
    <w:rsid w:val="00247DEC"/>
    <w:rsid w:val="00256C28"/>
    <w:rsid w:val="002575C8"/>
    <w:rsid w:val="002677EA"/>
    <w:rsid w:val="002734BA"/>
    <w:rsid w:val="00275DCF"/>
    <w:rsid w:val="00280576"/>
    <w:rsid w:val="0029603B"/>
    <w:rsid w:val="0029740D"/>
    <w:rsid w:val="002B6E11"/>
    <w:rsid w:val="002C284A"/>
    <w:rsid w:val="002C4AFB"/>
    <w:rsid w:val="002C68AB"/>
    <w:rsid w:val="002C765E"/>
    <w:rsid w:val="002C7765"/>
    <w:rsid w:val="002D4EA9"/>
    <w:rsid w:val="002D67AD"/>
    <w:rsid w:val="002D78E3"/>
    <w:rsid w:val="002E1568"/>
    <w:rsid w:val="002E27AA"/>
    <w:rsid w:val="00302FE9"/>
    <w:rsid w:val="00306A40"/>
    <w:rsid w:val="003070C8"/>
    <w:rsid w:val="0031357F"/>
    <w:rsid w:val="00316EEE"/>
    <w:rsid w:val="00323243"/>
    <w:rsid w:val="00324073"/>
    <w:rsid w:val="003330FF"/>
    <w:rsid w:val="0033498F"/>
    <w:rsid w:val="00336B82"/>
    <w:rsid w:val="0034013E"/>
    <w:rsid w:val="00340CE1"/>
    <w:rsid w:val="003440D9"/>
    <w:rsid w:val="00353975"/>
    <w:rsid w:val="00354952"/>
    <w:rsid w:val="00355B82"/>
    <w:rsid w:val="00355C34"/>
    <w:rsid w:val="003603DE"/>
    <w:rsid w:val="00360CF1"/>
    <w:rsid w:val="003613D1"/>
    <w:rsid w:val="00364777"/>
    <w:rsid w:val="00364AEA"/>
    <w:rsid w:val="0039227B"/>
    <w:rsid w:val="00394265"/>
    <w:rsid w:val="00394B7A"/>
    <w:rsid w:val="003A1D44"/>
    <w:rsid w:val="003A1D5A"/>
    <w:rsid w:val="003B5883"/>
    <w:rsid w:val="003B670F"/>
    <w:rsid w:val="003B732E"/>
    <w:rsid w:val="003C0844"/>
    <w:rsid w:val="003C72D2"/>
    <w:rsid w:val="003D5042"/>
    <w:rsid w:val="003D63EA"/>
    <w:rsid w:val="003D76CF"/>
    <w:rsid w:val="003E6E16"/>
    <w:rsid w:val="003F0008"/>
    <w:rsid w:val="003F0DAB"/>
    <w:rsid w:val="003F123D"/>
    <w:rsid w:val="003F286F"/>
    <w:rsid w:val="003F4BD4"/>
    <w:rsid w:val="00400B4B"/>
    <w:rsid w:val="00401176"/>
    <w:rsid w:val="00404D65"/>
    <w:rsid w:val="00410FB0"/>
    <w:rsid w:val="00412499"/>
    <w:rsid w:val="00422109"/>
    <w:rsid w:val="00423A38"/>
    <w:rsid w:val="00426842"/>
    <w:rsid w:val="004278B6"/>
    <w:rsid w:val="00432DDD"/>
    <w:rsid w:val="00442D59"/>
    <w:rsid w:val="00443FB9"/>
    <w:rsid w:val="0045350C"/>
    <w:rsid w:val="0045586F"/>
    <w:rsid w:val="00470940"/>
    <w:rsid w:val="00471040"/>
    <w:rsid w:val="00471BF7"/>
    <w:rsid w:val="0047219A"/>
    <w:rsid w:val="0047708F"/>
    <w:rsid w:val="00482823"/>
    <w:rsid w:val="00482A82"/>
    <w:rsid w:val="00487300"/>
    <w:rsid w:val="00487526"/>
    <w:rsid w:val="0049655D"/>
    <w:rsid w:val="004A41BB"/>
    <w:rsid w:val="004B6A73"/>
    <w:rsid w:val="004B7338"/>
    <w:rsid w:val="004C006B"/>
    <w:rsid w:val="004C0197"/>
    <w:rsid w:val="004C2F11"/>
    <w:rsid w:val="004C3568"/>
    <w:rsid w:val="004C62E8"/>
    <w:rsid w:val="004D2AEA"/>
    <w:rsid w:val="004D77FC"/>
    <w:rsid w:val="004E4BE5"/>
    <w:rsid w:val="004E62AC"/>
    <w:rsid w:val="004F10A7"/>
    <w:rsid w:val="004F1E5A"/>
    <w:rsid w:val="004F45A3"/>
    <w:rsid w:val="0050520B"/>
    <w:rsid w:val="00506E4C"/>
    <w:rsid w:val="00515B2C"/>
    <w:rsid w:val="0051781B"/>
    <w:rsid w:val="0051A448"/>
    <w:rsid w:val="00536FFE"/>
    <w:rsid w:val="00546147"/>
    <w:rsid w:val="00546C3E"/>
    <w:rsid w:val="00550EB9"/>
    <w:rsid w:val="0055488F"/>
    <w:rsid w:val="0056139C"/>
    <w:rsid w:val="00561A13"/>
    <w:rsid w:val="005652C3"/>
    <w:rsid w:val="00566EC3"/>
    <w:rsid w:val="00567247"/>
    <w:rsid w:val="00567757"/>
    <w:rsid w:val="005746F5"/>
    <w:rsid w:val="00585E63"/>
    <w:rsid w:val="005A2812"/>
    <w:rsid w:val="005A4965"/>
    <w:rsid w:val="005A70BB"/>
    <w:rsid w:val="005B442A"/>
    <w:rsid w:val="005C21F6"/>
    <w:rsid w:val="005C2749"/>
    <w:rsid w:val="005C2EEC"/>
    <w:rsid w:val="005C2F51"/>
    <w:rsid w:val="005D1BE8"/>
    <w:rsid w:val="005E0E88"/>
    <w:rsid w:val="005E13B5"/>
    <w:rsid w:val="005F00BC"/>
    <w:rsid w:val="005F3AED"/>
    <w:rsid w:val="00600A18"/>
    <w:rsid w:val="00603659"/>
    <w:rsid w:val="0060366E"/>
    <w:rsid w:val="006037CB"/>
    <w:rsid w:val="006051AC"/>
    <w:rsid w:val="00625263"/>
    <w:rsid w:val="006366FC"/>
    <w:rsid w:val="00640579"/>
    <w:rsid w:val="006432BC"/>
    <w:rsid w:val="00650226"/>
    <w:rsid w:val="0065267F"/>
    <w:rsid w:val="00653D6D"/>
    <w:rsid w:val="00655790"/>
    <w:rsid w:val="00655D6C"/>
    <w:rsid w:val="00664660"/>
    <w:rsid w:val="00673138"/>
    <w:rsid w:val="006777AF"/>
    <w:rsid w:val="0067781E"/>
    <w:rsid w:val="0068057B"/>
    <w:rsid w:val="0068061F"/>
    <w:rsid w:val="0068273B"/>
    <w:rsid w:val="00685523"/>
    <w:rsid w:val="00694A45"/>
    <w:rsid w:val="006970BD"/>
    <w:rsid w:val="006A354E"/>
    <w:rsid w:val="006C0315"/>
    <w:rsid w:val="006C211A"/>
    <w:rsid w:val="006D069C"/>
    <w:rsid w:val="006D084E"/>
    <w:rsid w:val="006E0762"/>
    <w:rsid w:val="006E7753"/>
    <w:rsid w:val="006F29C9"/>
    <w:rsid w:val="00703F2C"/>
    <w:rsid w:val="00715487"/>
    <w:rsid w:val="00716DC7"/>
    <w:rsid w:val="007219B9"/>
    <w:rsid w:val="007300BF"/>
    <w:rsid w:val="007327D5"/>
    <w:rsid w:val="00733B76"/>
    <w:rsid w:val="00746B30"/>
    <w:rsid w:val="00752B02"/>
    <w:rsid w:val="00757617"/>
    <w:rsid w:val="00766B25"/>
    <w:rsid w:val="00774342"/>
    <w:rsid w:val="00782634"/>
    <w:rsid w:val="007847C3"/>
    <w:rsid w:val="007B634E"/>
    <w:rsid w:val="007D48EA"/>
    <w:rsid w:val="007D6829"/>
    <w:rsid w:val="007E0DA0"/>
    <w:rsid w:val="007E3338"/>
    <w:rsid w:val="007F695D"/>
    <w:rsid w:val="008006AB"/>
    <w:rsid w:val="00800C89"/>
    <w:rsid w:val="00804AD0"/>
    <w:rsid w:val="00805910"/>
    <w:rsid w:val="00807FEC"/>
    <w:rsid w:val="00811A2D"/>
    <w:rsid w:val="00815C62"/>
    <w:rsid w:val="00821EF8"/>
    <w:rsid w:val="00821FAC"/>
    <w:rsid w:val="00824258"/>
    <w:rsid w:val="00824D03"/>
    <w:rsid w:val="008333F3"/>
    <w:rsid w:val="008500C8"/>
    <w:rsid w:val="0085514D"/>
    <w:rsid w:val="00856148"/>
    <w:rsid w:val="00857B39"/>
    <w:rsid w:val="00860F48"/>
    <w:rsid w:val="00865E3A"/>
    <w:rsid w:val="00870C77"/>
    <w:rsid w:val="0088110A"/>
    <w:rsid w:val="00893EFF"/>
    <w:rsid w:val="0089553F"/>
    <w:rsid w:val="008A1C30"/>
    <w:rsid w:val="008A439C"/>
    <w:rsid w:val="008A5BB7"/>
    <w:rsid w:val="008A638E"/>
    <w:rsid w:val="008C0B0C"/>
    <w:rsid w:val="008C0DD3"/>
    <w:rsid w:val="008C1616"/>
    <w:rsid w:val="008C318D"/>
    <w:rsid w:val="008C6985"/>
    <w:rsid w:val="008C78D5"/>
    <w:rsid w:val="008D1B20"/>
    <w:rsid w:val="008D2874"/>
    <w:rsid w:val="008D29FE"/>
    <w:rsid w:val="008D4476"/>
    <w:rsid w:val="008E0E23"/>
    <w:rsid w:val="008E35B9"/>
    <w:rsid w:val="008E692A"/>
    <w:rsid w:val="008F58F9"/>
    <w:rsid w:val="00902973"/>
    <w:rsid w:val="00907F1C"/>
    <w:rsid w:val="00913C75"/>
    <w:rsid w:val="00916A0A"/>
    <w:rsid w:val="009178F1"/>
    <w:rsid w:val="00920D9C"/>
    <w:rsid w:val="0092413D"/>
    <w:rsid w:val="00926889"/>
    <w:rsid w:val="0092777E"/>
    <w:rsid w:val="0093128B"/>
    <w:rsid w:val="00934878"/>
    <w:rsid w:val="00934962"/>
    <w:rsid w:val="009417F6"/>
    <w:rsid w:val="00941EF8"/>
    <w:rsid w:val="00952591"/>
    <w:rsid w:val="0095325D"/>
    <w:rsid w:val="00954E8E"/>
    <w:rsid w:val="009647D5"/>
    <w:rsid w:val="009710BC"/>
    <w:rsid w:val="00973545"/>
    <w:rsid w:val="00981560"/>
    <w:rsid w:val="00981639"/>
    <w:rsid w:val="00981B24"/>
    <w:rsid w:val="00984D76"/>
    <w:rsid w:val="00994236"/>
    <w:rsid w:val="00994622"/>
    <w:rsid w:val="00995125"/>
    <w:rsid w:val="009B2BC5"/>
    <w:rsid w:val="009B3D73"/>
    <w:rsid w:val="009C2128"/>
    <w:rsid w:val="009C4821"/>
    <w:rsid w:val="009D2100"/>
    <w:rsid w:val="009D4723"/>
    <w:rsid w:val="009E0DD2"/>
    <w:rsid w:val="009E36C0"/>
    <w:rsid w:val="009E57AA"/>
    <w:rsid w:val="00A019DC"/>
    <w:rsid w:val="00A11C51"/>
    <w:rsid w:val="00A22A3B"/>
    <w:rsid w:val="00A2387E"/>
    <w:rsid w:val="00A24FD4"/>
    <w:rsid w:val="00A40A26"/>
    <w:rsid w:val="00A62197"/>
    <w:rsid w:val="00A70ACF"/>
    <w:rsid w:val="00A72B77"/>
    <w:rsid w:val="00A809E6"/>
    <w:rsid w:val="00A83044"/>
    <w:rsid w:val="00A87CEA"/>
    <w:rsid w:val="00A947FF"/>
    <w:rsid w:val="00AA618F"/>
    <w:rsid w:val="00AB4EF2"/>
    <w:rsid w:val="00AB75C7"/>
    <w:rsid w:val="00AC1E20"/>
    <w:rsid w:val="00AE0D3A"/>
    <w:rsid w:val="00AF03BB"/>
    <w:rsid w:val="00AF46B5"/>
    <w:rsid w:val="00AF5924"/>
    <w:rsid w:val="00AF5C55"/>
    <w:rsid w:val="00AF70E9"/>
    <w:rsid w:val="00B0756C"/>
    <w:rsid w:val="00B10205"/>
    <w:rsid w:val="00B12D15"/>
    <w:rsid w:val="00B13742"/>
    <w:rsid w:val="00B1522B"/>
    <w:rsid w:val="00B224A3"/>
    <w:rsid w:val="00B32A04"/>
    <w:rsid w:val="00B373F5"/>
    <w:rsid w:val="00B40C66"/>
    <w:rsid w:val="00B40F5F"/>
    <w:rsid w:val="00B52143"/>
    <w:rsid w:val="00B541F1"/>
    <w:rsid w:val="00B63A9C"/>
    <w:rsid w:val="00B6613F"/>
    <w:rsid w:val="00B706C8"/>
    <w:rsid w:val="00B76AAC"/>
    <w:rsid w:val="00B80DB6"/>
    <w:rsid w:val="00B90B11"/>
    <w:rsid w:val="00B91761"/>
    <w:rsid w:val="00B93811"/>
    <w:rsid w:val="00B952CA"/>
    <w:rsid w:val="00B97C1C"/>
    <w:rsid w:val="00BA15F2"/>
    <w:rsid w:val="00BA4F4E"/>
    <w:rsid w:val="00BA7586"/>
    <w:rsid w:val="00BB0C31"/>
    <w:rsid w:val="00BB309E"/>
    <w:rsid w:val="00BB5891"/>
    <w:rsid w:val="00BC32DA"/>
    <w:rsid w:val="00BC7AEA"/>
    <w:rsid w:val="00BD0DBC"/>
    <w:rsid w:val="00BD19CC"/>
    <w:rsid w:val="00BD4435"/>
    <w:rsid w:val="00BD5113"/>
    <w:rsid w:val="00BD6B45"/>
    <w:rsid w:val="00BD775A"/>
    <w:rsid w:val="00BE42E9"/>
    <w:rsid w:val="00BE4B06"/>
    <w:rsid w:val="00BE5158"/>
    <w:rsid w:val="00BF1E64"/>
    <w:rsid w:val="00BF3D55"/>
    <w:rsid w:val="00BF6BEC"/>
    <w:rsid w:val="00BF6D28"/>
    <w:rsid w:val="00C01573"/>
    <w:rsid w:val="00C054F0"/>
    <w:rsid w:val="00C2310B"/>
    <w:rsid w:val="00C237AB"/>
    <w:rsid w:val="00C26293"/>
    <w:rsid w:val="00C27B01"/>
    <w:rsid w:val="00C32754"/>
    <w:rsid w:val="00C35FF1"/>
    <w:rsid w:val="00C37067"/>
    <w:rsid w:val="00C40D25"/>
    <w:rsid w:val="00C4185A"/>
    <w:rsid w:val="00C52ACF"/>
    <w:rsid w:val="00C544E7"/>
    <w:rsid w:val="00C5469A"/>
    <w:rsid w:val="00C63DFF"/>
    <w:rsid w:val="00C6648A"/>
    <w:rsid w:val="00C856FD"/>
    <w:rsid w:val="00C87063"/>
    <w:rsid w:val="00C87617"/>
    <w:rsid w:val="00C900CD"/>
    <w:rsid w:val="00C904A0"/>
    <w:rsid w:val="00C90609"/>
    <w:rsid w:val="00C939B4"/>
    <w:rsid w:val="00CA478B"/>
    <w:rsid w:val="00CA52DA"/>
    <w:rsid w:val="00CB1E9C"/>
    <w:rsid w:val="00CB5907"/>
    <w:rsid w:val="00CC6F33"/>
    <w:rsid w:val="00CD67D1"/>
    <w:rsid w:val="00CE11CF"/>
    <w:rsid w:val="00CE23F7"/>
    <w:rsid w:val="00CE7318"/>
    <w:rsid w:val="00CF4699"/>
    <w:rsid w:val="00D07B7A"/>
    <w:rsid w:val="00D07C52"/>
    <w:rsid w:val="00D1258B"/>
    <w:rsid w:val="00D15FF3"/>
    <w:rsid w:val="00D21670"/>
    <w:rsid w:val="00D2325C"/>
    <w:rsid w:val="00D327AE"/>
    <w:rsid w:val="00D33D6A"/>
    <w:rsid w:val="00D33F47"/>
    <w:rsid w:val="00D356E8"/>
    <w:rsid w:val="00D35C80"/>
    <w:rsid w:val="00D36BF7"/>
    <w:rsid w:val="00D4249E"/>
    <w:rsid w:val="00D46059"/>
    <w:rsid w:val="00D46248"/>
    <w:rsid w:val="00D57903"/>
    <w:rsid w:val="00D667D8"/>
    <w:rsid w:val="00D70491"/>
    <w:rsid w:val="00D803C9"/>
    <w:rsid w:val="00D912E4"/>
    <w:rsid w:val="00DA5733"/>
    <w:rsid w:val="00DA67E2"/>
    <w:rsid w:val="00DA7BF5"/>
    <w:rsid w:val="00DB062C"/>
    <w:rsid w:val="00DB25E2"/>
    <w:rsid w:val="00DB6D58"/>
    <w:rsid w:val="00DC5F13"/>
    <w:rsid w:val="00DC647C"/>
    <w:rsid w:val="00DC7A3F"/>
    <w:rsid w:val="00DD1538"/>
    <w:rsid w:val="00DD23DD"/>
    <w:rsid w:val="00DD60DA"/>
    <w:rsid w:val="00DD6693"/>
    <w:rsid w:val="00DE031F"/>
    <w:rsid w:val="00DF0137"/>
    <w:rsid w:val="00DF1091"/>
    <w:rsid w:val="00DF4488"/>
    <w:rsid w:val="00E007CB"/>
    <w:rsid w:val="00E01BA2"/>
    <w:rsid w:val="00E053D3"/>
    <w:rsid w:val="00E11BBB"/>
    <w:rsid w:val="00E165DB"/>
    <w:rsid w:val="00E23F19"/>
    <w:rsid w:val="00E24C6D"/>
    <w:rsid w:val="00E25BE7"/>
    <w:rsid w:val="00E31710"/>
    <w:rsid w:val="00E321B0"/>
    <w:rsid w:val="00E42744"/>
    <w:rsid w:val="00E42D2B"/>
    <w:rsid w:val="00E45E54"/>
    <w:rsid w:val="00E53C96"/>
    <w:rsid w:val="00E54D1E"/>
    <w:rsid w:val="00E63C07"/>
    <w:rsid w:val="00E648FD"/>
    <w:rsid w:val="00E64EFB"/>
    <w:rsid w:val="00E65E5E"/>
    <w:rsid w:val="00E67034"/>
    <w:rsid w:val="00E808F2"/>
    <w:rsid w:val="00E86F5F"/>
    <w:rsid w:val="00E9159E"/>
    <w:rsid w:val="00E923CC"/>
    <w:rsid w:val="00E92AE0"/>
    <w:rsid w:val="00E93FC5"/>
    <w:rsid w:val="00E94ADF"/>
    <w:rsid w:val="00E951B4"/>
    <w:rsid w:val="00E95C38"/>
    <w:rsid w:val="00E95D55"/>
    <w:rsid w:val="00E95F38"/>
    <w:rsid w:val="00E9771F"/>
    <w:rsid w:val="00EA2B20"/>
    <w:rsid w:val="00EA3BBB"/>
    <w:rsid w:val="00EA47F1"/>
    <w:rsid w:val="00EA4E2A"/>
    <w:rsid w:val="00EB4345"/>
    <w:rsid w:val="00EB654C"/>
    <w:rsid w:val="00EB6571"/>
    <w:rsid w:val="00EC3AB2"/>
    <w:rsid w:val="00ED4CAF"/>
    <w:rsid w:val="00ED7CDF"/>
    <w:rsid w:val="00EE04A9"/>
    <w:rsid w:val="00EE7BC4"/>
    <w:rsid w:val="00EF09F6"/>
    <w:rsid w:val="00EF0FD0"/>
    <w:rsid w:val="00EF21F1"/>
    <w:rsid w:val="00EF7928"/>
    <w:rsid w:val="00F02777"/>
    <w:rsid w:val="00F06389"/>
    <w:rsid w:val="00F063BA"/>
    <w:rsid w:val="00F1444A"/>
    <w:rsid w:val="00F20A76"/>
    <w:rsid w:val="00F228FE"/>
    <w:rsid w:val="00F23954"/>
    <w:rsid w:val="00F24D97"/>
    <w:rsid w:val="00F26D35"/>
    <w:rsid w:val="00F277D5"/>
    <w:rsid w:val="00F524A9"/>
    <w:rsid w:val="00F61108"/>
    <w:rsid w:val="00F6112B"/>
    <w:rsid w:val="00F61D03"/>
    <w:rsid w:val="00F713FD"/>
    <w:rsid w:val="00F928CA"/>
    <w:rsid w:val="00F96D76"/>
    <w:rsid w:val="00FB04C5"/>
    <w:rsid w:val="00FB3A08"/>
    <w:rsid w:val="00FB661D"/>
    <w:rsid w:val="00FC245A"/>
    <w:rsid w:val="00FC37A6"/>
    <w:rsid w:val="00FC3B86"/>
    <w:rsid w:val="00FD0050"/>
    <w:rsid w:val="00FD3E44"/>
    <w:rsid w:val="00FD3F48"/>
    <w:rsid w:val="00FD4F66"/>
    <w:rsid w:val="00FD5360"/>
    <w:rsid w:val="00FF302B"/>
    <w:rsid w:val="00FF35CD"/>
    <w:rsid w:val="011D60EC"/>
    <w:rsid w:val="02E97852"/>
    <w:rsid w:val="03B6A733"/>
    <w:rsid w:val="0465D305"/>
    <w:rsid w:val="056E3A3F"/>
    <w:rsid w:val="05973548"/>
    <w:rsid w:val="05A03523"/>
    <w:rsid w:val="0927DB59"/>
    <w:rsid w:val="0930E5C1"/>
    <w:rsid w:val="0AFC8B07"/>
    <w:rsid w:val="0B36C043"/>
    <w:rsid w:val="0CA6F019"/>
    <w:rsid w:val="10D105AF"/>
    <w:rsid w:val="1565415F"/>
    <w:rsid w:val="165B6232"/>
    <w:rsid w:val="1719D576"/>
    <w:rsid w:val="19FF8E6D"/>
    <w:rsid w:val="1B1C393F"/>
    <w:rsid w:val="1C861D7B"/>
    <w:rsid w:val="1DE144F5"/>
    <w:rsid w:val="1F6A68CA"/>
    <w:rsid w:val="1FD03090"/>
    <w:rsid w:val="20F376BA"/>
    <w:rsid w:val="21A21282"/>
    <w:rsid w:val="23754A93"/>
    <w:rsid w:val="253C9558"/>
    <w:rsid w:val="25A07567"/>
    <w:rsid w:val="28DE9D40"/>
    <w:rsid w:val="2D73926D"/>
    <w:rsid w:val="3303878B"/>
    <w:rsid w:val="334C9059"/>
    <w:rsid w:val="34511557"/>
    <w:rsid w:val="357386E8"/>
    <w:rsid w:val="36470E16"/>
    <w:rsid w:val="36C7B31F"/>
    <w:rsid w:val="398401BE"/>
    <w:rsid w:val="3CF50C4B"/>
    <w:rsid w:val="3D5DFDD8"/>
    <w:rsid w:val="3E8FC47A"/>
    <w:rsid w:val="426EDE06"/>
    <w:rsid w:val="4283AF4A"/>
    <w:rsid w:val="45350C7E"/>
    <w:rsid w:val="45DA6CB6"/>
    <w:rsid w:val="5039AE47"/>
    <w:rsid w:val="50412D07"/>
    <w:rsid w:val="5413F57C"/>
    <w:rsid w:val="543E2873"/>
    <w:rsid w:val="54744238"/>
    <w:rsid w:val="5614D72E"/>
    <w:rsid w:val="57878194"/>
    <w:rsid w:val="5792065B"/>
    <w:rsid w:val="59EC5839"/>
    <w:rsid w:val="5CAA53A4"/>
    <w:rsid w:val="5CFF8E40"/>
    <w:rsid w:val="5E28740B"/>
    <w:rsid w:val="5EA1B795"/>
    <w:rsid w:val="5F676075"/>
    <w:rsid w:val="61C84F56"/>
    <w:rsid w:val="63024FE5"/>
    <w:rsid w:val="6387B20F"/>
    <w:rsid w:val="65307A6A"/>
    <w:rsid w:val="6580DBE0"/>
    <w:rsid w:val="66E68166"/>
    <w:rsid w:val="67A4AF61"/>
    <w:rsid w:val="6BCBE7E9"/>
    <w:rsid w:val="6C638C07"/>
    <w:rsid w:val="701411A6"/>
    <w:rsid w:val="7092633A"/>
    <w:rsid w:val="752847FE"/>
    <w:rsid w:val="78A879F1"/>
    <w:rsid w:val="79164095"/>
    <w:rsid w:val="792F90AB"/>
    <w:rsid w:val="7AAF4E57"/>
    <w:rsid w:val="7AC747C4"/>
    <w:rsid w:val="7C446ED2"/>
    <w:rsid w:val="7C508419"/>
    <w:rsid w:val="7D1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530EC"/>
  <w15:chartTrackingRefBased/>
  <w15:docId w15:val="{5803F06F-E371-43B0-9976-98A225D4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BA"/>
    <w:pPr>
      <w:spacing w:afterLines="150" w:after="15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E16"/>
    <w:pPr>
      <w:keepNext/>
      <w:keepLines/>
      <w:numPr>
        <w:numId w:val="10"/>
      </w:numPr>
      <w:spacing w:before="240" w:after="0"/>
      <w:jc w:val="center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E16"/>
    <w:pPr>
      <w:keepNext/>
      <w:keepLines/>
      <w:numPr>
        <w:numId w:val="14"/>
      </w:numPr>
      <w:spacing w:before="40" w:after="0"/>
      <w:outlineLvl w:val="1"/>
    </w:pPr>
    <w:rPr>
      <w:rFonts w:eastAsiaTheme="majorEastAsia" w:cs="Arial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E16"/>
    <w:pPr>
      <w:keepNext/>
      <w:keepLines/>
      <w:numPr>
        <w:ilvl w:val="1"/>
        <w:numId w:val="14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E16"/>
    <w:pPr>
      <w:keepNext/>
      <w:keepLines/>
      <w:numPr>
        <w:ilvl w:val="2"/>
        <w:numId w:val="1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E16"/>
    <w:pPr>
      <w:keepNext/>
      <w:keepLines/>
      <w:numPr>
        <w:ilvl w:val="4"/>
        <w:numId w:val="14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B7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B7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B7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B7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E16"/>
    <w:rPr>
      <w:rFonts w:ascii="Arial" w:eastAsiaTheme="majorEastAsia" w:hAnsi="Arial" w:cstheme="majorBidi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9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125"/>
  </w:style>
  <w:style w:type="paragraph" w:styleId="Footer">
    <w:name w:val="footer"/>
    <w:basedOn w:val="Normal"/>
    <w:link w:val="FooterChar"/>
    <w:uiPriority w:val="99"/>
    <w:unhideWhenUsed/>
    <w:rsid w:val="0099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5"/>
  </w:style>
  <w:style w:type="paragraph" w:styleId="TOCHeading">
    <w:name w:val="TOC Heading"/>
    <w:basedOn w:val="Heading1"/>
    <w:next w:val="Normal"/>
    <w:uiPriority w:val="39"/>
    <w:unhideWhenUsed/>
    <w:qFormat/>
    <w:rsid w:val="00995125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ListParagraph">
    <w:name w:val="List Paragraph"/>
    <w:aliases w:val="Numbered List Paragraph"/>
    <w:basedOn w:val="Normal"/>
    <w:uiPriority w:val="34"/>
    <w:qFormat/>
    <w:rsid w:val="00995125"/>
    <w:pPr>
      <w:numPr>
        <w:numId w:val="15"/>
      </w:numPr>
      <w:contextualSpacing/>
    </w:pPr>
  </w:style>
  <w:style w:type="table" w:styleId="TableGrid">
    <w:name w:val="Table Grid"/>
    <w:basedOn w:val="TableNormal"/>
    <w:uiPriority w:val="39"/>
    <w:rsid w:val="0099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82634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0B366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E16"/>
    <w:rPr>
      <w:rFonts w:ascii="Arial" w:eastAsiaTheme="majorEastAsia" w:hAnsi="Arial" w:cs="Arial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E13B5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E9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E6E16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6E16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E16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B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B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1NoNumbers">
    <w:name w:val="Heading 1 (No Numbers)"/>
    <w:basedOn w:val="Heading1"/>
    <w:link w:val="Heading1NoNumbersChar"/>
    <w:rsid w:val="000A750A"/>
    <w:pPr>
      <w:numPr>
        <w:numId w:val="0"/>
      </w:numPr>
      <w:ind w:left="432" w:hanging="432"/>
    </w:pPr>
    <w:rPr>
      <w:rFonts w:cs="Arial"/>
      <w:szCs w:val="24"/>
    </w:rPr>
  </w:style>
  <w:style w:type="character" w:customStyle="1" w:styleId="Heading1NoNumbersChar">
    <w:name w:val="Heading 1 (No Numbers) Char"/>
    <w:basedOn w:val="Heading1Char"/>
    <w:link w:val="Heading1NoNumbers"/>
    <w:rsid w:val="000A750A"/>
    <w:rPr>
      <w:rFonts w:ascii="Arial" w:eastAsiaTheme="majorEastAsia" w:hAnsi="Arial" w:cs="Arial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2634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634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E923CC"/>
    <w:pPr>
      <w:spacing w:after="100"/>
      <w:ind w:left="440"/>
    </w:pPr>
  </w:style>
  <w:style w:type="character" w:customStyle="1" w:styleId="normaltextrun">
    <w:name w:val="normaltextrun"/>
    <w:basedOn w:val="DefaultParagraphFont"/>
    <w:rsid w:val="003D76CF"/>
  </w:style>
  <w:style w:type="character" w:customStyle="1" w:styleId="eop">
    <w:name w:val="eop"/>
    <w:basedOn w:val="DefaultParagraphFont"/>
    <w:rsid w:val="003D76CF"/>
  </w:style>
  <w:style w:type="paragraph" w:customStyle="1" w:styleId="Heading2NoNumbers">
    <w:name w:val="Heading 2 (No Numbers)"/>
    <w:basedOn w:val="Heading2"/>
    <w:link w:val="Heading2NoNumbersChar"/>
    <w:rsid w:val="00DF4488"/>
    <w:pPr>
      <w:numPr>
        <w:numId w:val="0"/>
      </w:numPr>
      <w:ind w:left="720"/>
    </w:pPr>
  </w:style>
  <w:style w:type="paragraph" w:customStyle="1" w:styleId="Heading3NoNumbers">
    <w:name w:val="Heading 3 (No Numbers)"/>
    <w:basedOn w:val="Heading3"/>
    <w:link w:val="Heading3NoNumbersChar"/>
    <w:rsid w:val="00DF4488"/>
    <w:pPr>
      <w:numPr>
        <w:ilvl w:val="0"/>
        <w:numId w:val="0"/>
      </w:numPr>
      <w:ind w:left="1440"/>
    </w:pPr>
  </w:style>
  <w:style w:type="character" w:customStyle="1" w:styleId="Heading2NoNumbersChar">
    <w:name w:val="Heading 2 (No Numbers) Char"/>
    <w:basedOn w:val="Heading2Char"/>
    <w:link w:val="Heading2NoNumbers"/>
    <w:rsid w:val="00DF4488"/>
    <w:rPr>
      <w:rFonts w:ascii="Arial" w:eastAsiaTheme="majorEastAsia" w:hAnsi="Arial" w:cs="Arial"/>
      <w:b/>
      <w:sz w:val="24"/>
      <w:szCs w:val="24"/>
    </w:rPr>
  </w:style>
  <w:style w:type="character" w:customStyle="1" w:styleId="Heading3NoNumbersChar">
    <w:name w:val="Heading 3 (No Numbers) Char"/>
    <w:basedOn w:val="Heading3Char"/>
    <w:link w:val="Heading3NoNumbers"/>
    <w:rsid w:val="00DF4488"/>
    <w:rPr>
      <w:rFonts w:ascii="Arial" w:eastAsiaTheme="majorEastAsia" w:hAnsi="Arial" w:cstheme="majorBidi"/>
      <w:b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7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7D8"/>
    <w:rPr>
      <w:rFonts w:ascii="Arial" w:hAnsi="Arial"/>
      <w:i/>
      <w:iCs/>
      <w:sz w:val="24"/>
    </w:rPr>
  </w:style>
  <w:style w:type="numbering" w:customStyle="1" w:styleId="Headings">
    <w:name w:val="Headings"/>
    <w:uiPriority w:val="99"/>
    <w:rsid w:val="00625263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D19CC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231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7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6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3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3E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AE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3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1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ls.uk/join/terms-and-conditions/breach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ls.uk/join/terms-and-condition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ls.uk/media/lvqjoowe/2023-10-access-policy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a46d0016f0184423" Type="http://schemas.microsoft.com/office/2019/09/relationships/intelligence" Target="intelligence.xml"/><Relationship Id="rId10" Type="http://schemas.openxmlformats.org/officeDocument/2006/relationships/hyperlink" Target="https://www.legislation.gov.uk/ukpga/2010/15/content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nls.uk/about-us/what-we-do/service-chart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5071-75B7-466E-8854-F2117C5C0B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1892e4-eb00-4689-8cb8-a4e6209d32a0}" enabled="0" method="" siteId="{8a1892e4-eb00-4689-8cb8-a4e6209d32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1006</Words>
  <Characters>5736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Assistance and emotional support animal policy</vt:lpstr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Assistance and emotional support animal policy</dc:title>
  <dc:subject/>
  <dc:creator/>
  <cp:keywords/>
  <dc:description/>
  <cp:lastModifiedBy>Ashby-Coventry, Danielle</cp:lastModifiedBy>
  <cp:revision>2</cp:revision>
  <dcterms:created xsi:type="dcterms:W3CDTF">2025-04-03T11:44:00Z</dcterms:created>
  <dcterms:modified xsi:type="dcterms:W3CDTF">2025-04-03T12:09:00Z</dcterms:modified>
</cp:coreProperties>
</file>